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8fec94cb7b38987da19f241124f64e110b5f06"/>
    <w:p>
      <w:pPr>
        <w:pStyle w:val="Heading1"/>
      </w:pPr>
      <w:r>
        <w:t xml:space="preserve">Registre des activités de traitement — EduTutor IA</w:t>
      </w:r>
    </w:p>
    <w:p>
      <w:pPr>
        <w:pStyle w:val="FirstParagraph"/>
      </w:pPr>
      <w:r>
        <w:rPr>
          <w:b/>
          <w:bCs/>
        </w:rPr>
        <w:t xml:space="preserve">Base légale :</w:t>
      </w:r>
      <w:r>
        <w:t xml:space="preserve"> </w:t>
      </w:r>
      <w:r>
        <w:t xml:space="preserve">RGPD</w:t>
      </w:r>
      <w:r>
        <w:t xml:space="preserve"> </w:t>
      </w:r>
      <w:r>
        <w:rPr>
          <w:b/>
          <w:bCs/>
        </w:rPr>
        <w:t xml:space="preserve">Art. 30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Version 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2026-07-01</w:t>
      </w:r>
    </w:p>
    <w:p>
      <w:pPr>
        <w:pStyle w:val="BlockText"/>
      </w:pPr>
      <w:r>
        <w:t xml:space="preserve">Le registre recense les traitements de données personnelles réalisés par EduTutor IA. Il est tenu</w:t>
      </w:r>
      <w:r>
        <w:t xml:space="preserve"> </w:t>
      </w:r>
      <w:r>
        <w:t xml:space="preserve">à jour par le responsable du traitement et présentable à la CNIL sur demande.</w:t>
      </w:r>
    </w:p>
    <w:bookmarkStart w:id="9" w:name="responsable-du-traitement"/>
    <w:p>
      <w:pPr>
        <w:pStyle w:val="Heading2"/>
      </w:pPr>
      <w:r>
        <w:t xml:space="preserve">Responsable du traitement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Entité :</w:t>
      </w:r>
      <w:r>
        <w:t xml:space="preserve"> </w:t>
      </w:r>
      <w:r>
        <w:t xml:space="preserve">EduTutor IA — projet APOCAL'IPSSI 2026, Groupe 1 (à remplacer par la société EduTutor</w:t>
      </w:r>
      <w:r>
        <w:t xml:space="preserve"> </w:t>
      </w:r>
      <w:r>
        <w:t xml:space="preserve">et son SIREN lors de la mise en production).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 référent données :</w:t>
      </w:r>
      <w:r>
        <w:t xml:space="preserve"> </w:t>
      </w:r>
      <w:r>
        <w:rPr>
          <w:rStyle w:val="VerbatimChar"/>
        </w:rPr>
        <w:t xml:space="preserve">dpo@edututor.example</w:t>
      </w:r>
      <w:r>
        <w:t xml:space="preserve"> </w:t>
      </w:r>
      <w:r>
        <w:rPr>
          <w:i/>
          <w:iCs/>
        </w:rPr>
        <w:t xml:space="preserve">(à définir)</w:t>
      </w:r>
      <w:r>
        <w:t xml:space="preserve">.</w:t>
      </w:r>
    </w:p>
    <w:bookmarkEnd w:id="9"/>
    <w:bookmarkStart w:id="14" w:name="traitements-recensés"/>
    <w:p>
      <w:pPr>
        <w:pStyle w:val="Heading2"/>
      </w:pPr>
      <w:r>
        <w:t xml:space="preserve">Traitements recensés</w:t>
      </w:r>
    </w:p>
    <w:bookmarkStart w:id="10" w:name="t1--gestion-des-comptes-utilisateurs"/>
    <w:p>
      <w:pPr>
        <w:pStyle w:val="Heading3"/>
      </w:pPr>
      <w:r>
        <w:t xml:space="preserve">T1 — Gestion des comptes utilisateurs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Finalité</w:t>
            </w:r>
          </w:p>
        </w:tc>
        <w:tc>
          <w:tcPr/>
          <w:p>
            <w:pPr>
              <w:pStyle w:val="Compact"/>
            </w:pPr>
            <w:r>
              <w:t xml:space="preserve">Inscription, authentification, gestion du profil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légale</w:t>
            </w:r>
          </w:p>
        </w:tc>
        <w:tc>
          <w:tcPr/>
          <w:p>
            <w:pPr>
              <w:pStyle w:val="Compact"/>
            </w:pPr>
            <w:r>
              <w:t xml:space="preserve">Exécution du contrat (Art. 6-1-b)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Personnes concernées</w:t>
            </w:r>
          </w:p>
        </w:tc>
        <w:tc>
          <w:tcPr/>
          <w:p>
            <w:pPr>
              <w:pStyle w:val="Compact"/>
            </w:pPr>
            <w:r>
              <w:t xml:space="preserve">Utilisateurs inscrits (étudiants, enseignants)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</w:t>
            </w:r>
          </w:p>
        </w:tc>
        <w:tc>
          <w:tcPr/>
          <w:p>
            <w:pPr>
              <w:pStyle w:val="Compact"/>
            </w:pPr>
            <w:r>
              <w:t xml:space="preserve">Email, nom, prénom, mot de passe (haché), statut de vérification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Destinataires</w:t>
            </w:r>
          </w:p>
        </w:tc>
        <w:tc>
          <w:tcPr/>
          <w:p>
            <w:pPr>
              <w:pStyle w:val="Compact"/>
            </w:pPr>
            <w:r>
              <w:t xml:space="preserve">Équipe EduTutor ; hébergeur (sous-traitant) ; Brevo (emails transactionnels)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Transfert hors UE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de conservation</w:t>
            </w:r>
          </w:p>
        </w:tc>
        <w:tc>
          <w:tcPr/>
          <w:p>
            <w:pPr>
              <w:pStyle w:val="Compact"/>
            </w:pPr>
            <w:r>
              <w:t xml:space="preserve">Durée de vie du compte + 30 j (cf. politique de rétention)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Mesures de sécurité</w:t>
            </w:r>
          </w:p>
        </w:tc>
        <w:tc>
          <w:tcPr/>
          <w:p>
            <w:pPr>
              <w:pStyle w:val="Compact"/>
            </w:pPr>
            <w:r>
              <w:t xml:space="preserve">Mots de passe hachés, token d'authentification, HTTPS, isolation par utilisateur</w:t>
            </w:r>
          </w:p>
        </w:tc>
      </w:tr>
    </w:tbl>
    <w:bookmarkEnd w:id="10"/>
    <w:bookmarkStart w:id="11" w:name="X4957737a753df84064d337d88e2fd913df39508"/>
    <w:p>
      <w:pPr>
        <w:pStyle w:val="Heading3"/>
      </w:pPr>
      <w:r>
        <w:t xml:space="preserve">T2 — Génération de quiz à partir d'un cours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Finalité</w:t>
            </w:r>
          </w:p>
        </w:tc>
        <w:tc>
          <w:tcPr/>
          <w:p>
            <w:pPr>
              <w:pStyle w:val="Compact"/>
            </w:pPr>
            <w:r>
              <w:t xml:space="preserve">Produire 10 QCM à partir d'un cours fourni par l'utilisateur (F3)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légale</w:t>
            </w:r>
          </w:p>
        </w:tc>
        <w:tc>
          <w:tcPr/>
          <w:p>
            <w:pPr>
              <w:pStyle w:val="Compact"/>
            </w:pPr>
            <w:r>
              <w:t xml:space="preserve">Exécution du contrat (Art. 6-1-b)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Personnes concernées</w:t>
            </w:r>
          </w:p>
        </w:tc>
        <w:tc>
          <w:tcPr/>
          <w:p>
            <w:pPr>
              <w:pStyle w:val="Compact"/>
            </w:pPr>
            <w:r>
              <w:t xml:space="preserve">Utilisateurs inscrits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</w:t>
            </w:r>
          </w:p>
        </w:tc>
        <w:tc>
          <w:tcPr/>
          <w:p>
            <w:pPr>
              <w:pStyle w:val="Compact"/>
            </w:pPr>
            <w:r>
              <w:t xml:space="preserve">Texte du cours (</w:t>
            </w:r>
            <w:r>
              <w:rPr>
                <w:rStyle w:val="VerbatimChar"/>
              </w:rPr>
              <w:t xml:space="preserve">source_text</w:t>
            </w:r>
            <w:r>
              <w:t xml:space="preserve">, peut contenir des données personnelles), quizz, scores, historique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Destinataires</w:t>
            </w:r>
          </w:p>
        </w:tc>
        <w:tc>
          <w:tcPr/>
          <w:p>
            <w:pPr>
              <w:pStyle w:val="Compact"/>
            </w:pPr>
            <w:r>
              <w:t xml:space="preserve">Équipe EduTutor ;</w:t>
            </w:r>
            <w:r>
              <w:t xml:space="preserve"> </w:t>
            </w:r>
            <w:r>
              <w:rPr>
                <w:b/>
                <w:bCs/>
              </w:rPr>
              <w:t xml:space="preserve">fournisseur LLM</w:t>
            </w:r>
            <w:r>
              <w:t xml:space="preserve"> </w:t>
            </w:r>
            <w:r>
              <w:t xml:space="preserve">(sous-traitant, cf. ADR-J2)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Transfert hors 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avec le choix principal</w:t>
            </w:r>
            <w:r>
              <w:t xml:space="preserve"> </w:t>
            </w:r>
            <w:r>
              <w:rPr>
                <w:b/>
                <w:bCs/>
              </w:rPr>
              <w:t xml:space="preserve">Mistral</w:t>
            </w:r>
            <w:r>
              <w:t xml:space="preserve"> </w:t>
            </w:r>
            <w:r>
              <w:t xml:space="preserve">(hébergé UE).</w:t>
            </w:r>
            <w:r>
              <w:t xml:space="preserve"> </w:t>
            </w:r>
            <w:r>
              <w:rPr>
                <w:i/>
                <w:iCs/>
              </w:rPr>
              <w:t xml:space="preserve">Oui</w:t>
            </w:r>
            <w:r>
              <w:t xml:space="preserve"> </w:t>
            </w:r>
            <w:r>
              <w:t xml:space="preserve">si bascule Cerebras/Groq → à encadrer par CCT +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de conservation</w:t>
            </w:r>
          </w:p>
        </w:tc>
        <w:tc>
          <w:tcPr/>
          <w:p>
            <w:pPr>
              <w:pStyle w:val="Compact"/>
            </w:pPr>
            <w:r>
              <w:t xml:space="preserve">Durée de vie du compte (suppression en cascade)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Mesures de sécurité</w:t>
            </w:r>
          </w:p>
        </w:tc>
        <w:tc>
          <w:tcPr/>
          <w:p>
            <w:pPr>
              <w:pStyle w:val="Compact"/>
            </w:pPr>
            <w:r>
              <w:t xml:space="preserve">Isolation par utilisateur, validation stricte des sorties LLM, prompt structuré (défense injection J3)</w:t>
            </w:r>
          </w:p>
        </w:tc>
      </w:tr>
    </w:tbl>
    <w:bookmarkEnd w:id="11"/>
    <w:bookmarkStart w:id="12" w:name="X9f1b10f9eee4b4c12b64b79ea502d2bd02968cc"/>
    <w:p>
      <w:pPr>
        <w:pStyle w:val="Heading3"/>
      </w:pPr>
      <w:r>
        <w:t xml:space="preserve">T3 — Emails transactionnels (validation, réinitialisation)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Finalité</w:t>
            </w:r>
          </w:p>
        </w:tc>
        <w:tc>
          <w:tcPr/>
          <w:p>
            <w:pPr>
              <w:pStyle w:val="Compact"/>
            </w:pPr>
            <w:r>
              <w:t xml:space="preserve">Vérifier l'email, permettre la réinitialisation du mot de passe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légale</w:t>
            </w:r>
          </w:p>
        </w:tc>
        <w:tc>
          <w:tcPr/>
          <w:p>
            <w:pPr>
              <w:pStyle w:val="Compact"/>
            </w:pPr>
            <w:r>
              <w:t xml:space="preserve">Exécution du contrat / intérêt légitime (sécurité)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</w:t>
            </w:r>
          </w:p>
        </w:tc>
        <w:tc>
          <w:tcPr/>
          <w:p>
            <w:pPr>
              <w:pStyle w:val="Compact"/>
            </w:pPr>
            <w:r>
              <w:t xml:space="preserve">Email, jeton temporaire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Sous-traitant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Brevo</w:t>
            </w:r>
            <w:r>
              <w:t xml:space="preserve"> </w:t>
            </w:r>
            <w:r>
              <w:t xml:space="preserve">(envoi d'emails) — DPA à jour requis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Transfert hors UE</w:t>
            </w:r>
          </w:p>
        </w:tc>
        <w:tc>
          <w:tcPr/>
          <w:p>
            <w:pPr>
              <w:pStyle w:val="Compact"/>
            </w:pPr>
            <w:r>
              <w:t xml:space="preserve">Non (Brevo, 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de conservation</w:t>
            </w:r>
          </w:p>
        </w:tc>
        <w:tc>
          <w:tcPr/>
          <w:p>
            <w:pPr>
              <w:pStyle w:val="Compact"/>
            </w:pPr>
            <w:r>
              <w:t xml:space="preserve">Le temps de l'envoi ; pas d'archivage côté produit</w:t>
            </w:r>
          </w:p>
        </w:tc>
      </w:tr>
    </w:tbl>
    <w:bookmarkEnd w:id="12"/>
    <w:bookmarkStart w:id="13" w:name="t4--demandes-dexercice-des-droits-sar"/>
    <w:p>
      <w:pPr>
        <w:pStyle w:val="Heading3"/>
      </w:pPr>
      <w:r>
        <w:t xml:space="preserve">T4 — Demandes d'exercice des droits (SAR)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Finalité</w:t>
            </w:r>
          </w:p>
        </w:tc>
        <w:tc>
          <w:tcPr/>
          <w:p>
            <w:pPr>
              <w:pStyle w:val="Compact"/>
            </w:pPr>
            <w:r>
              <w:t xml:space="preserve">Traiter les demandes d'accès / portabilité / effacement (Art. 15, 20, 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légale</w:t>
            </w:r>
          </w:p>
        </w:tc>
        <w:tc>
          <w:tcPr/>
          <w:p>
            <w:pPr>
              <w:pStyle w:val="Compact"/>
            </w:pPr>
            <w:r>
              <w:t xml:space="preserve">Obligation légale (Art. 6-1-c)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</w:t>
            </w:r>
          </w:p>
        </w:tc>
        <w:tc>
          <w:tcPr/>
          <w:p>
            <w:pPr>
              <w:pStyle w:val="Compact"/>
            </w:pPr>
            <w:r>
              <w:t xml:space="preserve">Email du demandeur, type de demande, dates, 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 de conservation</w:t>
            </w:r>
          </w:p>
        </w:tc>
        <w:tc>
          <w:tcPr/>
          <w:p>
            <w:pPr>
              <w:pStyle w:val="Compact"/>
            </w:pPr>
            <w:r>
              <w:t xml:space="preserve">36 mois (preuve de conformité)</w:t>
            </w:r>
          </w:p>
        </w:tc>
      </w:tr>
    </w:tbl>
    <w:bookmarkEnd w:id="13"/>
    <w:bookmarkEnd w:id="14"/>
    <w:bookmarkStart w:id="15" w:name="sous-traitants-récapitulatif"/>
    <w:p>
      <w:pPr>
        <w:pStyle w:val="Heading2"/>
      </w:pPr>
      <w:r>
        <w:t xml:space="preserve">Sous-traitants (récapitulatif)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Sous-traitant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</w:pPr>
            <w:r>
              <w:t xml:space="preserve">Encadrement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Hébergeur (VPS/cloud)</w:t>
            </w:r>
          </w:p>
        </w:tc>
        <w:tc>
          <w:tcPr/>
          <w:p>
            <w:pPr>
              <w:pStyle w:val="Compact"/>
            </w:pPr>
            <w:r>
              <w:t xml:space="preserve">Hébergement application + base</w:t>
            </w:r>
          </w:p>
        </w:tc>
        <w:tc>
          <w:tcPr/>
          <w:p>
            <w:pPr>
              <w:pStyle w:val="Compact"/>
            </w:pPr>
            <w:r>
              <w:t xml:space="preserve">UE</w:t>
            </w:r>
          </w:p>
        </w:tc>
        <w:tc>
          <w:tcPr/>
          <w:p>
            <w:pPr>
              <w:pStyle w:val="Compact"/>
            </w:pPr>
            <w:r>
              <w:t xml:space="preserve">Contrat + 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Brevo</w:t>
            </w:r>
          </w:p>
        </w:tc>
        <w:tc>
          <w:tcPr/>
          <w:p>
            <w:pPr>
              <w:pStyle w:val="Compact"/>
            </w:pPr>
            <w:r>
              <w:t xml:space="preserve">Emails transactionnels</w:t>
            </w:r>
          </w:p>
        </w:tc>
        <w:tc>
          <w:tcPr/>
          <w:p>
            <w:pPr>
              <w:pStyle w:val="Compact"/>
            </w:pPr>
            <w:r>
              <w:t xml:space="preserve">UE</w:t>
            </w:r>
          </w:p>
        </w:tc>
        <w:tc>
          <w:tcPr/>
          <w:p>
            <w:pPr>
              <w:pStyle w:val="Compact"/>
            </w:pPr>
            <w:r>
              <w:t xml:space="preserve">DPA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</w:t>
            </w:r>
            <w:r>
              <w:t xml:space="preserve"> </w:t>
            </w:r>
            <w:r>
              <w:t xml:space="preserve">(LLM principal)</w:t>
            </w:r>
          </w:p>
        </w:tc>
        <w:tc>
          <w:tcPr/>
          <w:p>
            <w:pPr>
              <w:pStyle w:val="Compact"/>
            </w:pPr>
            <w:r>
              <w:t xml:space="preserve">Génération des QCM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 🇫🇷</w:t>
            </w:r>
          </w:p>
        </w:tc>
        <w:tc>
          <w:tcPr/>
          <w:p>
            <w:pPr>
              <w:pStyle w:val="Compact"/>
            </w:pPr>
            <w:r>
              <w:t xml:space="preserve">DPA — pas de transfert hors 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Cerebras / Groq (LLM alternatif)</w:t>
            </w:r>
          </w:p>
        </w:tc>
        <w:tc>
          <w:tcPr/>
          <w:p>
            <w:pPr>
              <w:pStyle w:val="Compact"/>
            </w:pPr>
            <w:r>
              <w:t xml:space="preserve">Génération des QCM (option perf)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Hors UE</w:t>
            </w:r>
          </w:p>
        </w:tc>
        <w:tc>
          <w:tcPr/>
          <w:p>
            <w:pPr>
              <w:pStyle w:val="Compact"/>
            </w:pPr>
            <w:r>
              <w:t xml:space="preserve">CCT + information utilisateurs</w:t>
            </w:r>
            <w:r>
              <w:t xml:space="preserve"> </w:t>
            </w:r>
            <w:r>
              <w:rPr>
                <w:b/>
                <w:bCs/>
              </w:rPr>
              <w:t xml:space="preserve">si activé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Cohérence avec l'ADR-J2 :</w:t>
      </w:r>
      <w:r>
        <w:t xml:space="preserve"> </w:t>
      </w:r>
      <w:r>
        <w:t xml:space="preserve">le registre reflète le choix LLM principal</w:t>
      </w:r>
      <w:r>
        <w:t xml:space="preserve"> </w:t>
      </w:r>
      <w:r>
        <w:rPr>
          <w:b/>
          <w:bCs/>
        </w:rPr>
        <w:t xml:space="preserve">Mistral (UE)</w:t>
      </w:r>
      <w:r>
        <w:t xml:space="preserve">. Toute</w:t>
      </w:r>
      <w:r>
        <w:t xml:space="preserve"> </w:t>
      </w:r>
      <w:r>
        <w:t xml:space="preserve">bascule vers un fournisseur hors UE doit</w:t>
      </w:r>
      <w:r>
        <w:t xml:space="preserve"> </w:t>
      </w:r>
      <w:r>
        <w:rPr>
          <w:b/>
          <w:bCs/>
        </w:rPr>
        <w:t xml:space="preserve">mettre à jour ce registre</w:t>
      </w:r>
      <w:r>
        <w:t xml:space="preserve"> </w:t>
      </w:r>
      <w:r>
        <w:t xml:space="preserve">(ligne transfert hors UE) et</w:t>
      </w:r>
      <w:r>
        <w:t xml:space="preserve"> </w:t>
      </w:r>
      <w:r>
        <w:t xml:space="preserve">la politique de confidentialité avant activation en production.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