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f33cad281c4f7784287a99b52351b27d08cde5"/>
    <w:p>
      <w:pPr>
        <w:pStyle w:val="Heading1"/>
      </w:pPr>
      <w:r>
        <w:t xml:space="preserve">ADR-001 — Choix du backend LLM pour la génération de QCM</w:t>
      </w:r>
    </w:p>
    <w:p>
      <w:pPr>
        <w:pStyle w:val="FirstParagraph"/>
      </w:pPr>
      <w:r>
        <w:rPr>
          <w:b/>
          <w:bCs/>
        </w:rPr>
        <w:t xml:space="preserve">Statut :</w:t>
      </w:r>
      <w:r>
        <w:t xml:space="preserve"> </w:t>
      </w:r>
      <w:r>
        <w:t xml:space="preserve">Accepté par l'équipe — à valider avec le PO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2026-06-30</w:t>
      </w:r>
      <w:r>
        <w:t xml:space="preserve"> </w:t>
      </w:r>
      <w:r>
        <w:rPr>
          <w:b/>
          <w:bCs/>
        </w:rPr>
        <w:t xml:space="preserve">Contexte :</w:t>
      </w:r>
      <w:r>
        <w:t xml:space="preserve"> </w:t>
      </w:r>
      <w:r>
        <w:t xml:space="preserve">Perturbation J2 — latence inacceptable</w:t>
      </w:r>
      <w:r>
        <w:t xml:space="preserve"> </w:t>
      </w:r>
      <w:r>
        <w:rPr>
          <w:b/>
          <w:bCs/>
        </w:rPr>
        <w:t xml:space="preserve">Feature concernée :</w:t>
      </w:r>
      <w:r>
        <w:t xml:space="preserve"> </w:t>
      </w:r>
      <w:r>
        <w:t xml:space="preserve">F3 — Génération automatique de 10 QCM via LLM</w:t>
      </w:r>
      <w:r>
        <w:t xml:space="preserve"> </w:t>
      </w:r>
      <w:r>
        <w:rPr>
          <w:b/>
          <w:bCs/>
        </w:rPr>
        <w:t xml:space="preserve">Référence :</w:t>
      </w:r>
      <w:r>
        <w:t xml:space="preserve"> </w:t>
      </w:r>
      <w:r>
        <w:t xml:space="preserve">Compte rendu</w:t>
      </w:r>
      <w:r>
        <w:t xml:space="preserve"> </w:t>
      </w:r>
      <w:r>
        <w:rPr>
          <w:rStyle w:val="VerbatimChar"/>
        </w:rPr>
        <w:t xml:space="preserve">docs/cadrage/benchmark-llm.md</w:t>
      </w:r>
      <w:r>
        <w:t xml:space="preserve"> </w:t>
      </w:r>
      <w:r>
        <w:t xml:space="preserve">(benchmark des 8 backends — source de vérité)</w:t>
      </w:r>
    </w:p>
    <w:bookmarkStart w:id="9" w:name="X770efb5def1a0542613e1d41225afb3bacb2daa"/>
    <w:p>
      <w:pPr>
        <w:pStyle w:val="Heading2"/>
      </w:pPr>
      <w:r>
        <w:t xml:space="preserve">1. Contexte</w:t>
      </w:r>
    </w:p>
    <w:p>
      <w:pPr>
        <w:pStyle w:val="FirstParagraph"/>
      </w:pPr>
      <w:r>
        <w:t xml:space="preserve">Le modèle actuellement configuré pour générer les QCM est</w:t>
      </w:r>
      <w:r>
        <w:t xml:space="preserve"> </w:t>
      </w:r>
      <w:r>
        <w:rPr>
          <w:b/>
          <w:bCs/>
        </w:rPr>
        <w:t xml:space="preserve">Llama 3.1 8B Instruct via Ollama local</w:t>
      </w:r>
      <w:r>
        <w:t xml:space="preserve">. Ce choix est gratuit, local et cohérent avec l'objectif de souveraineté des données, mais il pose un problème majeur de performance : sur CPU, la génération d'un quiz prend</w:t>
      </w:r>
      <w:r>
        <w:t xml:space="preserve"> </w:t>
      </w:r>
      <w:r>
        <w:rPr>
          <w:b/>
          <w:bCs/>
        </w:rPr>
        <w:t xml:space="preserve">2 à 5 minutes</w:t>
      </w:r>
      <w:r>
        <w:t xml:space="preserve"> </w:t>
      </w:r>
      <w:r>
        <w:t xml:space="preserve">(mesuré à</w:t>
      </w:r>
      <w:r>
        <w:t xml:space="preserve"> </w:t>
      </w:r>
      <w:r>
        <w:rPr>
          <w:b/>
          <w:bCs/>
        </w:rPr>
        <w:t xml:space="preserve">P50 ≈ 137 s</w:t>
      </w:r>
      <w:r>
        <w:t xml:space="preserve"> </w:t>
      </w:r>
      <w:r>
        <w:t xml:space="preserve">sur machine sans GPU, cf. benchmark §4.1). Son JSON est en outre parfois invalide, ce qui déclenche un HTTP 502 visible pour l'utilisateur final.</w:t>
      </w:r>
    </w:p>
    <w:p>
      <w:pPr>
        <w:pStyle w:val="BodyText"/>
      </w:pPr>
      <w:r>
        <w:t xml:space="preserve">La génération de quiz est une fonctionnalité centrale d'un produit destiné à de</w:t>
      </w:r>
      <w:r>
        <w:t xml:space="preserve"> </w:t>
      </w:r>
      <w:r>
        <w:rPr>
          <w:b/>
          <w:bCs/>
        </w:rPr>
        <w:t xml:space="preserve">vrais utilisateurs</w:t>
      </w:r>
      <w:r>
        <w:t xml:space="preserve">. Une latence de plusieurs minutes est inacceptable en production et dégrade directement l'expérience. Le cours peut par ailleurs contenir des</w:t>
      </w:r>
      <w:r>
        <w:t xml:space="preserve"> </w:t>
      </w:r>
      <w:r>
        <w:rPr>
          <w:b/>
          <w:bCs/>
        </w:rPr>
        <w:t xml:space="preserve">données personnelles</w:t>
      </w:r>
      <w:r>
        <w:t xml:space="preserve"> </w:t>
      </w:r>
      <w:r>
        <w:t xml:space="preserve">: le choix du fournisseur a donc aussi une dimension RGPD. L'équipe doit choisir un backend LLM adapté à la mise en production, en tenant compte de la qualité du JSON, de la performance, du coût récurrent, du RGPD et de l'effort d'intégration.</w:t>
      </w:r>
    </w:p>
    <w:bookmarkEnd w:id="9"/>
    <w:bookmarkStart w:id="10" w:name="Xb21b135cb0db24a261e489c309efbbe34172f2f"/>
    <w:p>
      <w:pPr>
        <w:pStyle w:val="Heading2"/>
      </w:pPr>
      <w:r>
        <w:t xml:space="preserve">2. Options envisagées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Garder</w:t>
            </w:r>
            <w:r>
              <w:t xml:space="preserve"> </w:t>
            </w:r>
            <w:r>
              <w:rPr>
                <w:b/>
                <w:bCs/>
              </w:rPr>
              <w:t xml:space="preserve">Llama 3.1 8B via Ollama</w:t>
            </w:r>
          </w:p>
        </w:tc>
        <w:tc>
          <w:tcPr/>
          <w:p>
            <w:pPr>
              <w:pStyle w:val="Compact"/>
            </w:pPr>
            <w:r>
              <w:t xml:space="preserve">Gratuit, local, souverain, aucun transfert de données</w:t>
            </w:r>
          </w:p>
        </w:tc>
        <w:tc>
          <w:tcPr/>
          <w:p>
            <w:pPr>
              <w:pStyle w:val="Compact"/>
            </w:pPr>
            <w:r>
              <w:t xml:space="preserve">Latence rédhibitoire (P50 ≈ 137 s CPU), JSON parfois invalide</w:t>
            </w:r>
          </w:p>
        </w:tc>
        <w:tc>
          <w:tcPr/>
          <w:p>
            <w:pPr>
              <w:pStyle w:val="Compact"/>
            </w:pPr>
            <w:r>
              <w:t xml:space="preserve">Rejeté comme choix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b/>
                <w:bCs/>
              </w:rPr>
              <w:t xml:space="preserve">Mistral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mistral-small-latest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Seul fournisseur cloud hébergé en UE 🇫🇷</w:t>
            </w:r>
            <w:r>
              <w:t xml:space="preserve"> </w:t>
            </w:r>
            <w:r>
              <w:t xml:space="preserve">(RGPD by design), bon JSON natif, rapide (~3 s), coût faible (~$0.15/1M), offre payante avec SLA, déjà câblé par le factory pattern</w:t>
            </w:r>
          </w:p>
        </w:tc>
        <w:tc>
          <w:tcPr/>
          <w:p>
            <w:pPr>
              <w:pStyle w:val="Compact"/>
            </w:pPr>
            <w:r>
              <w:t xml:space="preserve">Dépendance cloud + réseau, un cran sous Cerebras en latence/qualité brute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Retenu comme choix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b/>
                <w:bCs/>
              </w:rPr>
              <w:t xml:space="preserve">Cerebras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gpt-oss-120b</w:t>
            </w:r>
            <w:r>
              <w:t xml:space="preserve"> </w:t>
            </w:r>
            <w:r>
              <w:t xml:space="preserve">(ou Groq 70B)</w:t>
            </w:r>
          </w:p>
        </w:tc>
        <w:tc>
          <w:tcPr/>
          <w:p>
            <w:pPr>
              <w:pStyle w:val="Compact"/>
            </w:pPr>
            <w:r>
              <w:t xml:space="preserve">Le plus rapide du marché (~2 s), qualité ≫ 8B, free tier généreux</w:t>
            </w:r>
          </w:p>
        </w:tc>
        <w:tc>
          <w:tcPr/>
          <w:p>
            <w:pPr>
              <w:pStyle w:val="Compact"/>
            </w:pPr>
            <w:r>
              <w:t xml:space="preserve">Données envoyées</w:t>
            </w:r>
            <w:r>
              <w:t xml:space="preserve"> </w:t>
            </w:r>
            <w:r>
              <w:rPr>
                <w:b/>
                <w:bCs/>
              </w:rPr>
              <w:t xml:space="preserve">hors UE</w:t>
            </w:r>
            <w:r>
              <w:t xml:space="preserve"> </w:t>
            </w:r>
            <w:r>
              <w:t xml:space="preserve">(transfert à justifier RGPD), free tier sans SLA</w:t>
            </w:r>
          </w:p>
        </w:tc>
        <w:tc>
          <w:tcPr/>
          <w:p>
            <w:pPr>
              <w:pStyle w:val="Compact"/>
            </w:pPr>
            <w:r>
              <w:t xml:space="preserve">Alternative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b/>
                <w:bCs/>
              </w:rPr>
              <w:t xml:space="preserve">Qwen 3 8B via Ollama</w:t>
            </w:r>
          </w:p>
        </w:tc>
        <w:tc>
          <w:tcPr/>
          <w:p>
            <w:pPr>
              <w:pStyle w:val="Compact"/>
            </w:pPr>
            <w:r>
              <w:t xml:space="preserve">Gratuit, local, souverain, meilleur suivi d'instructions que Llama 3.1 8B</w:t>
            </w:r>
          </w:p>
        </w:tc>
        <w:tc>
          <w:tcPr/>
          <w:p>
            <w:pPr>
              <w:pStyle w:val="Compact"/>
            </w:pPr>
            <w:r>
              <w:t xml:space="preserve">Latence CPU toujours problématique → exige un GPU</w:t>
            </w:r>
          </w:p>
        </w:tc>
        <w:tc>
          <w:tcPr/>
          <w:p>
            <w:pPr>
              <w:pStyle w:val="Compact"/>
            </w:pPr>
            <w:r>
              <w:t xml:space="preserve">Fallback souverain</w:t>
            </w:r>
          </w:p>
        </w:tc>
      </w:tr>
    </w:tbl>
    <w:bookmarkEnd w:id="10"/>
    <w:bookmarkStart w:id="11" w:name="X7a60aeb21657fd0ef64c5ccfee3d9de74b3ed26"/>
    <w:p>
      <w:pPr>
        <w:pStyle w:val="Heading2"/>
      </w:pPr>
      <w:r>
        <w:t xml:space="preserve">3. Décision retenue</w:t>
      </w:r>
    </w:p>
    <w:p>
      <w:pPr>
        <w:pStyle w:val="FirstParagraph"/>
      </w:pPr>
      <w:r>
        <w:t xml:space="preserve">Nous décidons d'utiliser</w:t>
      </w:r>
      <w:r>
        <w:t xml:space="preserve"> </w:t>
      </w:r>
      <w:r>
        <w:rPr>
          <w:b/>
          <w:bCs/>
        </w:rPr>
        <w:t xml:space="preserve">Mistral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mistral-small-latest</w:t>
      </w:r>
      <w:r>
        <w:t xml:space="preserve"> </w:t>
      </w:r>
      <w:r>
        <w:t xml:space="preserve">comme backend principal pour la génération de QCM.</w:t>
      </w:r>
    </w:p>
    <w:p>
      <w:pPr>
        <w:pStyle w:val="BodyText"/>
      </w:pPr>
      <w:r>
        <w:t xml:space="preserve">Ce choix suit la recommandation n°1 du benchmark (</w:t>
      </w:r>
      <w:r>
        <w:rPr>
          <w:rStyle w:val="VerbatimChar"/>
        </w:rPr>
        <w:t xml:space="preserve">docs/cadrage/benchmark-llm.md</w:t>
      </w:r>
      <w:r>
        <w:t xml:space="preserve"> </w:t>
      </w:r>
      <w:r>
        <w:t xml:space="preserve">§6) : c'est le meilleur compromis pour un produit en production destiné à de vrais utilisateurs européens. Le backend local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reste conservé comme solution de repli (</w:t>
      </w:r>
      <w:r>
        <w:rPr>
          <w:rStyle w:val="VerbatimChar"/>
        </w:rPr>
        <w:t xml:space="preserve">fallback</w:t>
      </w:r>
      <w:r>
        <w:t xml:space="preserve">),</w:t>
      </w:r>
      <w:r>
        <w:t xml:space="preserve"> </w:t>
      </w:r>
      <w:r>
        <w:rPr>
          <w:b/>
          <w:bCs/>
        </w:rPr>
        <w:t xml:space="preserve">Cerebras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gpt-oss-120b</w:t>
      </w:r>
      <w:r>
        <w:rPr>
          <w:b/>
          <w:bCs/>
        </w:rPr>
        <w:t xml:space="preserve"> </w:t>
      </w:r>
      <w:r>
        <w:rPr>
          <w:b/>
          <w:bCs/>
        </w:rPr>
        <w:t xml:space="preserve">/ Groq 70B</w:t>
      </w:r>
      <w:r>
        <w:t xml:space="preserve"> </w:t>
      </w:r>
      <w:r>
        <w:t xml:space="preserve">est documenté comme alternative si la priorité devient la performance brute (résidence des données non bloquante), et</w:t>
      </w:r>
      <w:r>
        <w:t xml:space="preserve"> </w:t>
      </w:r>
      <w:r>
        <w:rPr>
          <w:b/>
          <w:bCs/>
        </w:rPr>
        <w:t xml:space="preserve">Qwen 3 8B</w:t>
      </w:r>
      <w:r>
        <w:t xml:space="preserve"> </w:t>
      </w:r>
      <w:r>
        <w:t xml:space="preserve">comme option 100 % souveraine si le PO impose que rien ne quitte notre infrastructure.</w:t>
      </w:r>
    </w:p>
    <w:bookmarkEnd w:id="11"/>
    <w:bookmarkStart w:id="12" w:name="Xaae991e3b72ed309ba23051651ab40cdba62c7e"/>
    <w:p>
      <w:pPr>
        <w:pStyle w:val="Heading2"/>
      </w:pPr>
      <w:r>
        <w:t xml:space="preserve">4. Justification</w:t>
      </w:r>
    </w:p>
    <w:p>
      <w:pPr>
        <w:pStyle w:val="FirstParagraph"/>
      </w:pPr>
      <w:r>
        <w:t xml:space="preserve">Le modèle actuel est cohérent sur le plan souveraineté mais sa latence (P50 ≈ 137 s) et ses JSON parfois invalides le disqualifient comme choix par défaut. Parmi les alternatives mesurées, Mistral apporte le meilleur équilibre pour la</w:t>
      </w:r>
      <w:r>
        <w:t xml:space="preserve"> </w:t>
      </w:r>
      <w:r>
        <w:rPr>
          <w:b/>
          <w:bCs/>
        </w:rPr>
        <w:t xml:space="preserve">mise en production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RGPD by design</w:t>
      </w:r>
      <w:r>
        <w:t xml:space="preserve"> </w:t>
      </w:r>
      <w:r>
        <w:t xml:space="preserve">: seul fournisseur cloud hébergé en UE 🇫🇷 →</w:t>
      </w:r>
      <w:r>
        <w:t xml:space="preserve"> </w:t>
      </w:r>
      <w:r>
        <w:rPr>
          <w:b/>
          <w:bCs/>
        </w:rPr>
        <w:t xml:space="preserve">pas de transfert hors UE à justifier</w:t>
      </w:r>
      <w:r>
        <w:t xml:space="preserve">, alors que le cours peut contenir des données personnelles. C'est le critère décisif pour un produit à vrais utilisateurs européens.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&amp; fiabilité JSON</w:t>
      </w:r>
      <w:r>
        <w:t xml:space="preserve"> </w:t>
      </w:r>
      <w:r>
        <w:t xml:space="preserve">: bon JSON natif, latence de l'ordre de la seconde → suppression des 502 dus au 8B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Coût &amp; SLA</w:t>
      </w:r>
      <w:r>
        <w:t xml:space="preserve"> </w:t>
      </w:r>
      <w:r>
        <w:t xml:space="preserve">: coût faible (~$0.15/1M) et fournisseur proposant une</w:t>
      </w:r>
      <w:r>
        <w:t xml:space="preserve"> </w:t>
      </w:r>
      <w:r>
        <w:rPr>
          <w:b/>
          <w:bCs/>
        </w:rPr>
        <w:t xml:space="preserve">offre payante avec engagement de service</w:t>
      </w:r>
      <w:r>
        <w:t xml:space="preserve"> </w:t>
      </w:r>
      <w:r>
        <w:t xml:space="preserve">— indispensable en prod.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 d'intégration nul</w:t>
      </w:r>
      <w:r>
        <w:t xml:space="preserve"> </w:t>
      </w:r>
      <w:r>
        <w:t xml:space="preserve">: le kit expose déjà 9 backends via un</w:t>
      </w:r>
      <w:r>
        <w:t xml:space="preserve"> </w:t>
      </w:r>
      <w:r>
        <w:rPr>
          <w:i/>
          <w:iCs/>
        </w:rPr>
        <w:t xml:space="preserve">factory pattern</w:t>
      </w:r>
      <w:r>
        <w:t xml:space="preserve">. Changer de modèle = modifier</w:t>
      </w:r>
      <w:r>
        <w:t xml:space="preserve"> </w:t>
      </w:r>
      <w:r>
        <w:rPr>
          <w:rStyle w:val="VerbatimChar"/>
        </w:rPr>
        <w:t xml:space="preserve">LLM_BACKEND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*_MODEL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aucun code à écrire — la bascule est</w:t>
      </w:r>
      <w:r>
        <w:t xml:space="preserve"> </w:t>
      </w:r>
      <w:r>
        <w:rPr>
          <w:b/>
          <w:bCs/>
        </w:rPr>
        <w:t xml:space="preserve">feature-flaggée</w:t>
      </w:r>
      <w:r>
        <w:t xml:space="preserve"> </w:t>
      </w:r>
      <w:r>
        <w:t xml:space="preserve">par configuration.</w:t>
      </w:r>
    </w:p>
    <w:p>
      <w:pPr>
        <w:pStyle w:val="FirstParagraph"/>
      </w:pPr>
      <w:r>
        <w:t xml:space="preserve">Cerebras/Groq restent plus rapides et sont retenus</w:t>
      </w:r>
      <w:r>
        <w:t xml:space="preserve"> </w:t>
      </w:r>
      <w:r>
        <w:rPr>
          <w:b/>
          <w:bCs/>
        </w:rPr>
        <w:t xml:space="preserve">en alternative</w:t>
      </w:r>
      <w:r>
        <w:t xml:space="preserve"> </w:t>
      </w:r>
      <w:r>
        <w:t xml:space="preserve">: si le PO acte que la résidence des données n'est pas bloquante, la bascule ne coûte qu'une ligne de configuration.</w:t>
      </w:r>
    </w:p>
    <w:bookmarkEnd w:id="12"/>
    <w:bookmarkStart w:id="16" w:name="X064caa113d996b7695e109fe9e1252894c02fe1"/>
    <w:p>
      <w:pPr>
        <w:pStyle w:val="Heading2"/>
      </w:pPr>
      <w:r>
        <w:t xml:space="preserve">5. Conséquences</w:t>
      </w:r>
    </w:p>
    <w:bookmarkStart w:id="13" w:name="positives"/>
    <w:p>
      <w:pPr>
        <w:pStyle w:val="Heading3"/>
      </w:pPr>
      <w:r>
        <w:t xml:space="preserve">Positives</w:t>
      </w:r>
    </w:p>
    <w:p>
      <w:pPr>
        <w:pStyle w:val="Compact"/>
        <w:numPr>
          <w:ilvl w:val="0"/>
          <w:numId w:val="1002"/>
        </w:numPr>
      </w:pPr>
      <w:r>
        <w:t xml:space="preserve">Génération de QCM rapide (de ~2 min à ~3 s) et exploitable en production.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Conformité RGPD by design</w:t>
      </w:r>
      <w:r>
        <w:t xml:space="preserve"> </w:t>
      </w:r>
      <w:r>
        <w:t xml:space="preserve">: données traitées en UE, pas de transfert hors UE à documenter pour le choix principal.</w:t>
      </w:r>
    </w:p>
    <w:p>
      <w:pPr>
        <w:pStyle w:val="Compact"/>
        <w:numPr>
          <w:ilvl w:val="0"/>
          <w:numId w:val="1002"/>
        </w:numPr>
      </w:pPr>
      <w:r>
        <w:t xml:space="preserve">JSON plus fiable → moins de HTTP 502 visibles pour l'utilisateur.</w:t>
      </w:r>
    </w:p>
    <w:p>
      <w:pPr>
        <w:pStyle w:val="Compact"/>
        <w:numPr>
          <w:ilvl w:val="0"/>
          <w:numId w:val="1002"/>
        </w:numPr>
      </w:pPr>
      <w:r>
        <w:t xml:space="preserve">Bascule et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peu coûteux grâce à la configuration existante des backends LLM.</w:t>
      </w:r>
    </w:p>
    <w:bookmarkEnd w:id="13"/>
    <w:bookmarkStart w:id="14" w:name="négatives"/>
    <w:p>
      <w:pPr>
        <w:pStyle w:val="Heading3"/>
      </w:pPr>
      <w:r>
        <w:t xml:space="preserve">Négatives</w:t>
      </w:r>
    </w:p>
    <w:p>
      <w:pPr>
        <w:pStyle w:val="Compact"/>
        <w:numPr>
          <w:ilvl w:val="0"/>
          <w:numId w:val="1003"/>
        </w:numPr>
      </w:pPr>
      <w:r>
        <w:t xml:space="preserve">Dépendance à un fournisseur externe et à la connexion réseau.</w:t>
      </w:r>
    </w:p>
    <w:p>
      <w:pPr>
        <w:pStyle w:val="Compact"/>
        <w:numPr>
          <w:ilvl w:val="0"/>
          <w:numId w:val="1003"/>
        </w:numPr>
      </w:pPr>
      <w:r>
        <w:t xml:space="preserve">Free tier sans garantie de disponibilité ni SLA → réservé au dev/staging.</w:t>
      </w:r>
    </w:p>
    <w:p>
      <w:pPr>
        <w:pStyle w:val="Compact"/>
        <w:numPr>
          <w:ilvl w:val="0"/>
          <w:numId w:val="1003"/>
        </w:numPr>
      </w:pPr>
      <w:r>
        <w:t xml:space="preserve">Un cran sous Cerebras/Groq en latence et qualité brute.</w:t>
      </w:r>
    </w:p>
    <w:bookmarkEnd w:id="14"/>
    <w:bookmarkStart w:id="15" w:name="à-surveiller"/>
    <w:p>
      <w:pPr>
        <w:pStyle w:val="Heading3"/>
      </w:pPr>
      <w:r>
        <w:t xml:space="preserve">À surveiller</w:t>
      </w:r>
    </w:p>
    <w:p>
      <w:pPr>
        <w:pStyle w:val="Compact"/>
        <w:numPr>
          <w:ilvl w:val="0"/>
          <w:numId w:val="1004"/>
        </w:numPr>
      </w:pPr>
      <w:r>
        <w:t xml:space="preserve">Conserver la validation stricte du JSON généré côté backend (</w:t>
      </w:r>
      <w:r>
        <w:rPr>
          <w:rStyle w:val="VerbatimChar"/>
        </w:rPr>
        <w:t xml:space="preserve">parse_and_validate_quiz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Prévoir un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en cas d'indisponibilité de Mistral.</w:t>
      </w:r>
    </w:p>
    <w:p>
      <w:pPr>
        <w:pStyle w:val="Compact"/>
        <w:numPr>
          <w:ilvl w:val="0"/>
          <w:numId w:val="1004"/>
        </w:numPr>
      </w:pPr>
      <w:r>
        <w:t xml:space="preserve">Passer à l'</w:t>
      </w:r>
      <w:r>
        <w:rPr>
          <w:b/>
          <w:bCs/>
        </w:rPr>
        <w:t xml:space="preserve">offre payante avec SLA</w:t>
      </w:r>
      <w:r>
        <w:t xml:space="preserve"> </w:t>
      </w:r>
      <w:r>
        <w:t xml:space="preserve">avant la mise en production réelle.</w:t>
      </w:r>
    </w:p>
    <w:p>
      <w:pPr>
        <w:pStyle w:val="Compact"/>
        <w:numPr>
          <w:ilvl w:val="0"/>
          <w:numId w:val="1004"/>
        </w:numPr>
      </w:pPr>
      <w:r>
        <w:t xml:space="preserve">Mesurer après bascule la latence réelle (P50/p95) sur le jeu de cours de référence et vérifier que le temps de génération respecte CA3 (&lt; 60 s, objectif ~quelques secondes).</w:t>
      </w:r>
    </w:p>
    <w:p>
      <w:pPr>
        <w:pStyle w:val="Compact"/>
        <w:numPr>
          <w:ilvl w:val="0"/>
          <w:numId w:val="1004"/>
        </w:numPr>
      </w:pPr>
      <w:r>
        <w:t xml:space="preserve">Si le PO bascule sur Cerebras/Groq (hors UE),</w:t>
      </w:r>
      <w:r>
        <w:t xml:space="preserve"> </w:t>
      </w:r>
      <w:r>
        <w:rPr>
          <w:b/>
          <w:bCs/>
        </w:rPr>
        <w:t xml:space="preserve">tracer le transfert hors UE</w:t>
      </w:r>
      <w:r>
        <w:t xml:space="preserve"> </w:t>
      </w:r>
      <w:r>
        <w:t xml:space="preserve">dans le registre de traitements + DPA fournisseur.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