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873FB72" w:rsidR="00050706" w:rsidRPr="00B4008E" w:rsidRDefault="004C774F" w:rsidP="00E42375">
            <w:pPr>
              <w:rPr>
                <w:b/>
              </w:rPr>
            </w:pPr>
            <w:proofErr w:type="spellStart"/>
            <w:r>
              <w:t>Skip</w:t>
            </w:r>
            <w:proofErr w:type="spellEnd"/>
            <w:r>
              <w:t xml:space="preserve"> Duoc UC </w:t>
            </w:r>
            <w:r>
              <w:t>-</w:t>
            </w:r>
            <w:r>
              <w:t xml:space="preserve"> Sistema Integral de Pedidos Anticipados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6DD67FC" w14:textId="77777777" w:rsidR="00050706" w:rsidRDefault="004C774F" w:rsidP="00050706">
            <w:r>
              <w:t>Ingeniería y Desarrollo de Software Multiplataforma (Móvil y Web).</w:t>
            </w:r>
          </w:p>
          <w:p w14:paraId="4ED9D311" w14:textId="77777777" w:rsidR="004C774F" w:rsidRDefault="004C774F" w:rsidP="00050706">
            <w:r>
              <w:t>Arquitectura de Sistemas y Modelamiento de Datos Relacionales.</w:t>
            </w:r>
          </w:p>
          <w:p w14:paraId="0760A62B" w14:textId="77777777" w:rsidR="004C774F" w:rsidRDefault="004C774F" w:rsidP="00050706">
            <w:r>
              <w:t>Gestión Ágil de Proyectos Informáticos y Ciclo de Vida del Software.</w:t>
            </w:r>
          </w:p>
          <w:p w14:paraId="2466888A" w14:textId="121E0C7F" w:rsidR="004C774F" w:rsidRPr="00B4008E" w:rsidRDefault="004C774F" w:rsidP="00050706">
            <w:pPr>
              <w:rPr>
                <w:b/>
              </w:rPr>
            </w:pPr>
            <w:r>
              <w:t>Aseguramiento de Calidad (QA), Seguridad de Datos y Pruebas Transaccionales.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52DD8C3" w14:textId="77777777" w:rsidR="004C774F" w:rsidRDefault="004C774F" w:rsidP="00050706">
            <w:r w:rsidRPr="004C774F">
              <w:t xml:space="preserve">1. Desarrollar una solución de software utilizando técnicas que permitan sistematizar el proceso de desarrollo y mantenimiento, asegurando el logro de los objetivos.  </w:t>
            </w:r>
          </w:p>
          <w:p w14:paraId="71D7F140" w14:textId="77777777" w:rsidR="004C774F" w:rsidRDefault="004C774F" w:rsidP="00050706">
            <w:r w:rsidRPr="004C774F">
              <w:t xml:space="preserve">2. Construir modelos de datos para soportar los requerimientos de la organización de acuerdo a un diseño definido y escalable en el tiempo. </w:t>
            </w:r>
          </w:p>
          <w:p w14:paraId="6A9A614D" w14:textId="77777777" w:rsidR="004C774F" w:rsidRDefault="004C774F" w:rsidP="00050706">
            <w:r w:rsidRPr="004C774F">
              <w:t xml:space="preserve"> 3. Gestionar proyectos informáticos, ofreciendo alternativas para la toma de decisiones de acuerdo a los requerimientos de la organización.</w:t>
            </w:r>
          </w:p>
          <w:p w14:paraId="2366AA78" w14:textId="3F93ADB3" w:rsidR="00050706" w:rsidRPr="00B4008E" w:rsidRDefault="004C774F" w:rsidP="00050706">
            <w:pPr>
              <w:rPr>
                <w:b/>
              </w:rPr>
            </w:pPr>
            <w:r w:rsidRPr="004C774F">
              <w:t xml:space="preserve">  4. 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FC6EED8" w14:textId="77777777"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b/>
                <w:bCs/>
                <w:i/>
                <w:color w:val="000000" w:themeColor="text1"/>
              </w:rPr>
            </w:pPr>
            <w:r w:rsidRPr="004C774F">
              <w:rPr>
                <w:rFonts w:asciiTheme="minorHAnsi" w:hAnsiTheme="minorHAnsi" w:cstheme="minorHAnsi"/>
                <w:b/>
                <w:bCs/>
                <w:i/>
                <w:color w:val="000000" w:themeColor="text1"/>
              </w:rPr>
              <w:t>Problemática y Contexto:</w:t>
            </w:r>
          </w:p>
          <w:p w14:paraId="73014996" w14:textId="707A52C9"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i/>
                <w:color w:val="000000" w:themeColor="text1"/>
              </w:rPr>
              <w:br/>
            </w:r>
          </w:p>
          <w:p w14:paraId="6E17438D" w14:textId="54035BD4"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i/>
                <w:color w:val="000000" w:themeColor="text1"/>
              </w:rPr>
              <w:t xml:space="preserve">El proyecto se sitúa en Duoc UC Sede San Joaquín (Santiago, Chile), campus de educación superior con una población flotante diaria superior a las 5.000 personas entre estudiantes de jornadas diurna y vespertina, docentes y colaboradores. En esta comunidad, las ventanas de descanso académico y colación son breves y estrictas (oscilando entre 15 y 30 minutos). Durante las horas punta (11:30 y 13:00 </w:t>
            </w:r>
            <w:proofErr w:type="spellStart"/>
            <w:r w:rsidRPr="004C774F">
              <w:rPr>
                <w:rFonts w:asciiTheme="minorHAnsi" w:hAnsiTheme="minorHAnsi" w:cstheme="minorHAnsi"/>
                <w:i/>
                <w:color w:val="000000" w:themeColor="text1"/>
              </w:rPr>
              <w:t>hrs</w:t>
            </w:r>
            <w:proofErr w:type="spellEnd"/>
            <w:r w:rsidRPr="004C774F">
              <w:rPr>
                <w:rFonts w:asciiTheme="minorHAnsi" w:hAnsiTheme="minorHAnsi" w:cstheme="minorHAnsi"/>
                <w:i/>
                <w:color w:val="000000" w:themeColor="text1"/>
              </w:rPr>
              <w:t xml:space="preserve">), los cinco puntos de venta de alimentos del campus (Achoclonados, -1 </w:t>
            </w:r>
            <w:proofErr w:type="spellStart"/>
            <w:r w:rsidRPr="004C774F">
              <w:rPr>
                <w:rFonts w:asciiTheme="minorHAnsi" w:hAnsiTheme="minorHAnsi" w:cstheme="minorHAnsi"/>
                <w:i/>
                <w:color w:val="000000" w:themeColor="text1"/>
              </w:rPr>
              <w:t>Foodtruck</w:t>
            </w:r>
            <w:proofErr w:type="spellEnd"/>
            <w:r w:rsidRPr="004C774F">
              <w:rPr>
                <w:rFonts w:asciiTheme="minorHAnsi" w:hAnsiTheme="minorHAnsi" w:cstheme="minorHAnsi"/>
                <w:i/>
                <w:color w:val="000000" w:themeColor="text1"/>
              </w:rPr>
              <w:t xml:space="preserve">, Cafetería Paradiso, Castaño y Casino Central) colapsan operativamente con filas de 15 a 25 minutos. </w:t>
            </w:r>
            <w:r w:rsidRPr="004C774F">
              <w:rPr>
                <w:rFonts w:asciiTheme="minorHAnsi" w:hAnsiTheme="minorHAnsi" w:cstheme="minorHAnsi"/>
                <w:i/>
                <w:color w:val="000000" w:themeColor="text1"/>
              </w:rPr>
              <w:br/>
            </w:r>
          </w:p>
          <w:p w14:paraId="1E6EFE97" w14:textId="1FA5BD45"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b/>
                <w:bCs/>
                <w:i/>
                <w:color w:val="000000" w:themeColor="text1"/>
              </w:rPr>
              <w:t>Afectados e Impacto:</w:t>
            </w:r>
          </w:p>
          <w:p w14:paraId="0F7410A6" w14:textId="40787E35"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i/>
                <w:color w:val="000000" w:themeColor="text1"/>
              </w:rPr>
              <w:t xml:space="preserve">Esta congestión impacta negativamente a dos actores principales: </w:t>
            </w:r>
          </w:p>
          <w:p w14:paraId="4C493033" w14:textId="345ABEA2"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i/>
                <w:color w:val="000000" w:themeColor="text1"/>
              </w:rPr>
              <w:t xml:space="preserve">• </w:t>
            </w:r>
            <w:r w:rsidRPr="004C774F">
              <w:rPr>
                <w:rFonts w:asciiTheme="minorHAnsi" w:hAnsiTheme="minorHAnsi" w:cstheme="minorHAnsi"/>
                <w:i/>
                <w:iCs/>
                <w:color w:val="000000" w:themeColor="text1"/>
              </w:rPr>
              <w:t>Comunidad Estudiantil:</w:t>
            </w:r>
            <w:r w:rsidRPr="004C774F">
              <w:rPr>
                <w:rFonts w:asciiTheme="minorHAnsi" w:hAnsiTheme="minorHAnsi" w:cstheme="minorHAnsi"/>
                <w:i/>
                <w:color w:val="000000" w:themeColor="text1"/>
              </w:rPr>
              <w:t xml:space="preserve"> Consume casi la totalidad de su receso haciendo fila de pie, lo que genera estrés, atrasos sistemáticos para entrar a clases o la renuncia a alimentarse adecuadamente por el desincentivo de la fila física. </w:t>
            </w:r>
          </w:p>
          <w:p w14:paraId="3C21470F" w14:textId="33641B07"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i/>
                <w:color w:val="000000" w:themeColor="text1"/>
              </w:rPr>
              <w:t xml:space="preserve">• </w:t>
            </w:r>
            <w:r w:rsidRPr="004C774F">
              <w:rPr>
                <w:rFonts w:asciiTheme="minorHAnsi" w:hAnsiTheme="minorHAnsi" w:cstheme="minorHAnsi"/>
                <w:i/>
                <w:iCs/>
                <w:color w:val="000000" w:themeColor="text1"/>
              </w:rPr>
              <w:t>Locatarios Concesionarios:</w:t>
            </w:r>
            <w:r w:rsidRPr="004C774F">
              <w:rPr>
                <w:rFonts w:asciiTheme="minorHAnsi" w:hAnsiTheme="minorHAnsi" w:cstheme="minorHAnsi"/>
                <w:i/>
                <w:color w:val="000000" w:themeColor="text1"/>
              </w:rPr>
              <w:t xml:space="preserve"> Su personal de mesón colapsa al intentar cobrar, digitar comandas y preparar pedidos al mismo tiempo de manera manual en papel, provocando errores en entregas y una pérdida neta de ventas debido a clientes que abandonan el local. </w:t>
            </w:r>
            <w:r w:rsidRPr="004C774F">
              <w:rPr>
                <w:rFonts w:asciiTheme="minorHAnsi" w:hAnsiTheme="minorHAnsi" w:cstheme="minorHAnsi"/>
                <w:i/>
                <w:color w:val="000000" w:themeColor="text1"/>
              </w:rPr>
              <w:br/>
            </w:r>
            <w:r w:rsidRPr="004C774F">
              <w:rPr>
                <w:rFonts w:asciiTheme="minorHAnsi" w:hAnsiTheme="minorHAnsi" w:cstheme="minorHAnsi"/>
                <w:i/>
                <w:color w:val="000000" w:themeColor="text1"/>
              </w:rPr>
              <w:br/>
            </w:r>
          </w:p>
          <w:p w14:paraId="6E4E771F" w14:textId="30BF3BC1"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b/>
                <w:bCs/>
                <w:i/>
                <w:color w:val="000000" w:themeColor="text1"/>
              </w:rPr>
              <w:t>Relevancia para el Campo Laboral y Aporte de Valor:</w:t>
            </w:r>
            <w:r w:rsidRPr="004C774F">
              <w:rPr>
                <w:rFonts w:asciiTheme="minorHAnsi" w:hAnsiTheme="minorHAnsi" w:cstheme="minorHAnsi"/>
                <w:i/>
                <w:color w:val="000000" w:themeColor="text1"/>
              </w:rPr>
              <w:br/>
            </w:r>
          </w:p>
          <w:p w14:paraId="533CCC62" w14:textId="77777777" w:rsidR="004C774F" w:rsidRPr="004C774F" w:rsidRDefault="004C774F" w:rsidP="004C774F">
            <w:pPr>
              <w:pStyle w:val="paragraph"/>
              <w:spacing w:before="0" w:beforeAutospacing="0" w:after="0" w:afterAutospacing="0"/>
              <w:ind w:left="720"/>
              <w:textAlignment w:val="baseline"/>
              <w:rPr>
                <w:rFonts w:asciiTheme="minorHAnsi" w:hAnsiTheme="minorHAnsi" w:cstheme="minorHAnsi"/>
                <w:i/>
                <w:color w:val="000000" w:themeColor="text1"/>
              </w:rPr>
            </w:pPr>
            <w:r w:rsidRPr="004C774F">
              <w:rPr>
                <w:rFonts w:asciiTheme="minorHAnsi" w:hAnsiTheme="minorHAnsi" w:cstheme="minorHAnsi"/>
                <w:i/>
                <w:color w:val="000000" w:themeColor="text1"/>
              </w:rPr>
              <w:t xml:space="preserve">En la industria del software, la digitalización </w:t>
            </w:r>
            <w:proofErr w:type="spellStart"/>
            <w:r w:rsidRPr="004C774F">
              <w:rPr>
                <w:rFonts w:asciiTheme="minorHAnsi" w:hAnsiTheme="minorHAnsi" w:cstheme="minorHAnsi"/>
                <w:i/>
                <w:color w:val="000000" w:themeColor="text1"/>
              </w:rPr>
              <w:t>omnicanal</w:t>
            </w:r>
            <w:proofErr w:type="spellEnd"/>
            <w:r w:rsidRPr="004C774F">
              <w:rPr>
                <w:rFonts w:asciiTheme="minorHAnsi" w:hAnsiTheme="minorHAnsi" w:cstheme="minorHAnsi"/>
                <w:i/>
                <w:color w:val="000000" w:themeColor="text1"/>
              </w:rPr>
              <w:t xml:space="preserve"> y el modelo </w:t>
            </w:r>
            <w:proofErr w:type="spellStart"/>
            <w:r w:rsidRPr="004C774F">
              <w:rPr>
                <w:rFonts w:asciiTheme="minorHAnsi" w:hAnsiTheme="minorHAnsi" w:cstheme="minorHAnsi"/>
                <w:i/>
                <w:iCs/>
                <w:color w:val="000000" w:themeColor="text1"/>
              </w:rPr>
              <w:t>Click</w:t>
            </w:r>
            <w:proofErr w:type="spellEnd"/>
            <w:r w:rsidRPr="004C774F">
              <w:rPr>
                <w:rFonts w:asciiTheme="minorHAnsi" w:hAnsiTheme="minorHAnsi" w:cstheme="minorHAnsi"/>
                <w:i/>
                <w:iCs/>
                <w:color w:val="000000" w:themeColor="text1"/>
              </w:rPr>
              <w:t xml:space="preserve"> &amp; </w:t>
            </w:r>
            <w:proofErr w:type="spellStart"/>
            <w:r w:rsidRPr="004C774F">
              <w:rPr>
                <w:rFonts w:asciiTheme="minorHAnsi" w:hAnsiTheme="minorHAnsi" w:cstheme="minorHAnsi"/>
                <w:i/>
                <w:iCs/>
                <w:color w:val="000000" w:themeColor="text1"/>
              </w:rPr>
              <w:t>Collect</w:t>
            </w:r>
            <w:proofErr w:type="spellEnd"/>
            <w:r w:rsidRPr="004C774F">
              <w:rPr>
                <w:rFonts w:asciiTheme="minorHAnsi" w:hAnsiTheme="minorHAnsi" w:cstheme="minorHAnsi"/>
                <w:i/>
                <w:color w:val="000000" w:themeColor="text1"/>
              </w:rPr>
              <w:t xml:space="preserve"> representan estándares consolidados de la transformación digital gastronómica. </w:t>
            </w:r>
            <w:proofErr w:type="spellStart"/>
            <w:r w:rsidRPr="004C774F">
              <w:rPr>
                <w:rFonts w:asciiTheme="minorHAnsi" w:hAnsiTheme="minorHAnsi" w:cstheme="minorHAnsi"/>
                <w:i/>
                <w:color w:val="000000" w:themeColor="text1"/>
              </w:rPr>
              <w:t>Skip</w:t>
            </w:r>
            <w:proofErr w:type="spellEnd"/>
            <w:r w:rsidRPr="004C774F">
              <w:rPr>
                <w:rFonts w:asciiTheme="minorHAnsi" w:hAnsiTheme="minorHAnsi" w:cstheme="minorHAnsi"/>
                <w:i/>
                <w:color w:val="000000" w:themeColor="text1"/>
              </w:rPr>
              <w:t xml:space="preserve"> Duoc UC aporta una solución real y medible al campus: </w:t>
            </w:r>
            <w:proofErr w:type="spellStart"/>
            <w:r w:rsidRPr="004C774F">
              <w:rPr>
                <w:rFonts w:asciiTheme="minorHAnsi" w:hAnsiTheme="minorHAnsi" w:cstheme="minorHAnsi"/>
                <w:i/>
                <w:color w:val="000000" w:themeColor="text1"/>
              </w:rPr>
              <w:t>desintermedia</w:t>
            </w:r>
            <w:proofErr w:type="spellEnd"/>
            <w:r w:rsidRPr="004C774F">
              <w:rPr>
                <w:rFonts w:asciiTheme="minorHAnsi" w:hAnsiTheme="minorHAnsi" w:cstheme="minorHAnsi"/>
                <w:i/>
                <w:color w:val="000000" w:themeColor="text1"/>
              </w:rPr>
              <w:t xml:space="preserve"> la caja física, reduce los tiempos de espera hasta en un 70% mediante compras asíncronas y permite que el retiro presencial se concrete en menos de 30 segundos usando códigos nemotécnicos únicos de 4 caracteres, convirtiendo la sede en un entorno de </w:t>
            </w:r>
            <w:r w:rsidRPr="004C774F">
              <w:rPr>
                <w:rFonts w:asciiTheme="minorHAnsi" w:hAnsiTheme="minorHAnsi" w:cstheme="minorHAnsi"/>
                <w:i/>
                <w:iCs/>
                <w:color w:val="000000" w:themeColor="text1"/>
              </w:rPr>
              <w:t>Smart Campus</w:t>
            </w:r>
            <w:r w:rsidRPr="004C774F">
              <w:rPr>
                <w:rFonts w:asciiTheme="minorHAnsi" w:hAnsiTheme="minorHAnsi" w:cstheme="minorHAnsi"/>
                <w:i/>
                <w:color w:val="000000" w:themeColor="text1"/>
              </w:rPr>
              <w:t>.</w:t>
            </w:r>
          </w:p>
          <w:p w14:paraId="543D7C6B" w14:textId="4057CA90" w:rsidR="001202BF" w:rsidRPr="004C774F" w:rsidRDefault="001202BF" w:rsidP="004C774F">
            <w:pPr>
              <w:pStyle w:val="paragraph"/>
              <w:spacing w:before="0" w:beforeAutospacing="0" w:after="0" w:afterAutospacing="0"/>
              <w:ind w:left="720"/>
              <w:jc w:val="both"/>
              <w:textAlignment w:val="baseline"/>
              <w:rPr>
                <w:rFonts w:asciiTheme="minorHAnsi" w:hAnsiTheme="minorHAnsi" w:cstheme="minorHAnsi"/>
                <w:i/>
                <w:color w:val="000000" w:themeColor="text1"/>
                <w:sz w:val="22"/>
                <w:szCs w:val="22"/>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749E7EC9" w14:textId="77777777" w:rsidR="004C774F" w:rsidRPr="004C774F" w:rsidRDefault="004C774F" w:rsidP="004C774F">
            <w:pPr>
              <w:pStyle w:val="Prrafodelista"/>
              <w:numPr>
                <w:ilvl w:val="0"/>
                <w:numId w:val="1"/>
              </w:numPr>
              <w:spacing w:after="0" w:line="240" w:lineRule="auto"/>
              <w:jc w:val="both"/>
              <w:rPr>
                <w:rFonts w:ascii="Calibri" w:hAnsi="Calibri" w:cs="Arial"/>
                <w:i/>
                <w:color w:val="000000" w:themeColor="text1"/>
                <w:lang w:eastAsia="es-CL"/>
              </w:rPr>
            </w:pPr>
            <w:r w:rsidRPr="004C774F">
              <w:rPr>
                <w:rFonts w:ascii="Calibri" w:hAnsi="Calibri" w:cs="Arial"/>
                <w:i/>
                <w:color w:val="000000" w:themeColor="text1"/>
                <w:lang w:eastAsia="es-CL"/>
              </w:rPr>
              <w:t xml:space="preserve">El objetivo general del proyecto consiste en desarrollar, desplegar y validar un sistema integral multiplataforma de pedidos anticipados de comida en Duoc UC Sede San Joaquín, que logre </w:t>
            </w:r>
            <w:r w:rsidRPr="004C774F">
              <w:rPr>
                <w:rFonts w:ascii="Calibri" w:hAnsi="Calibri" w:cs="Arial"/>
                <w:i/>
                <w:color w:val="000000" w:themeColor="text1"/>
                <w:lang w:eastAsia="es-CL"/>
              </w:rPr>
              <w:lastRenderedPageBreak/>
              <w:t>digitalizar el 100% del ciclo de compra (catálogo en vivo, orden, pago simulado y notificación de retiro en mostrador) al término del semestre académico en curso.</w:t>
            </w:r>
          </w:p>
          <w:p w14:paraId="7F72CE84" w14:textId="77777777" w:rsidR="004C774F" w:rsidRPr="004C774F" w:rsidRDefault="004C774F" w:rsidP="004C774F">
            <w:pPr>
              <w:pStyle w:val="Prrafodelista"/>
              <w:numPr>
                <w:ilvl w:val="0"/>
                <w:numId w:val="1"/>
              </w:numPr>
              <w:spacing w:after="0" w:line="240" w:lineRule="auto"/>
              <w:jc w:val="both"/>
              <w:rPr>
                <w:rFonts w:ascii="Calibri" w:hAnsi="Calibri" w:cs="Arial"/>
                <w:i/>
                <w:color w:val="000000" w:themeColor="text1"/>
                <w:lang w:eastAsia="es-CL"/>
              </w:rPr>
            </w:pPr>
          </w:p>
          <w:p w14:paraId="3F52E2FB" w14:textId="72699490" w:rsidR="001202BF" w:rsidRPr="00B340E1" w:rsidRDefault="004C774F" w:rsidP="004C774F">
            <w:pPr>
              <w:pStyle w:val="Prrafodelista"/>
              <w:numPr>
                <w:ilvl w:val="0"/>
                <w:numId w:val="1"/>
              </w:numPr>
              <w:jc w:val="both"/>
              <w:rPr>
                <w:rFonts w:ascii="Calibri" w:hAnsi="Calibri" w:cs="Arial"/>
                <w:i/>
                <w:color w:val="0070C0"/>
                <w:sz w:val="18"/>
                <w:szCs w:val="20"/>
                <w:lang w:eastAsia="es-CL"/>
              </w:rPr>
            </w:pPr>
            <w:r w:rsidRPr="004C774F">
              <w:rPr>
                <w:rFonts w:ascii="Calibri" w:hAnsi="Calibri" w:cs="Arial"/>
                <w:i/>
                <w:color w:val="000000" w:themeColor="text1"/>
                <w:lang w:eastAsia="es-CL"/>
              </w:rPr>
              <w:t xml:space="preserve">En cuanto a los objetivos específicos, el primero es tecnológico-móvil y consiste en desarrollar la aplicación cliente para estudiantes en </w:t>
            </w:r>
            <w:proofErr w:type="spellStart"/>
            <w:r w:rsidRPr="004C774F">
              <w:rPr>
                <w:rFonts w:ascii="Calibri" w:hAnsi="Calibri" w:cs="Arial"/>
                <w:i/>
                <w:color w:val="000000" w:themeColor="text1"/>
                <w:lang w:eastAsia="es-CL"/>
              </w:rPr>
              <w:t>React</w:t>
            </w:r>
            <w:proofErr w:type="spellEnd"/>
            <w:r w:rsidRPr="004C774F">
              <w:rPr>
                <w:rFonts w:ascii="Calibri" w:hAnsi="Calibri" w:cs="Arial"/>
                <w:i/>
                <w:color w:val="000000" w:themeColor="text1"/>
                <w:lang w:eastAsia="es-CL"/>
              </w:rPr>
              <w:t xml:space="preserve"> Native bajo el entorno Expo, alcanzando tiempos de renderizado de catálogo inferiores a dos segundos y facilitando la personalización de productos mediante modificadores con cálculo estricto de subtotales en números enteros para moneda nacional en CLP. El segundo objetivo es tecnológico-web y radica en construir la plataforma de locatarios y panel administrativo en Next.js, implementando un tablero Kanban operacional sincronizado en tiempo real mediante </w:t>
            </w:r>
            <w:proofErr w:type="spellStart"/>
            <w:r w:rsidRPr="004C774F">
              <w:rPr>
                <w:rFonts w:ascii="Calibri" w:hAnsi="Calibri" w:cs="Arial"/>
                <w:i/>
                <w:color w:val="000000" w:themeColor="text1"/>
                <w:lang w:eastAsia="es-CL"/>
              </w:rPr>
              <w:t>WebSockets</w:t>
            </w:r>
            <w:proofErr w:type="spellEnd"/>
            <w:r w:rsidRPr="004C774F">
              <w:rPr>
                <w:rFonts w:ascii="Calibri" w:hAnsi="Calibri" w:cs="Arial"/>
                <w:i/>
                <w:color w:val="000000" w:themeColor="text1"/>
                <w:lang w:eastAsia="es-CL"/>
              </w:rPr>
              <w:t xml:space="preserve"> a través de </w:t>
            </w:r>
            <w:proofErr w:type="spellStart"/>
            <w:r w:rsidRPr="004C774F">
              <w:rPr>
                <w:rFonts w:ascii="Calibri" w:hAnsi="Calibri" w:cs="Arial"/>
                <w:i/>
                <w:color w:val="000000" w:themeColor="text1"/>
                <w:lang w:eastAsia="es-CL"/>
              </w:rPr>
              <w:t>Supabase</w:t>
            </w:r>
            <w:proofErr w:type="spellEnd"/>
            <w:r w:rsidRPr="004C774F">
              <w:rPr>
                <w:rFonts w:ascii="Calibri" w:hAnsi="Calibri" w:cs="Arial"/>
                <w:i/>
                <w:color w:val="000000" w:themeColor="text1"/>
                <w:lang w:eastAsia="es-CL"/>
              </w:rPr>
              <w:t xml:space="preserve"> </w:t>
            </w:r>
            <w:proofErr w:type="spellStart"/>
            <w:r w:rsidRPr="004C774F">
              <w:rPr>
                <w:rFonts w:ascii="Calibri" w:hAnsi="Calibri" w:cs="Arial"/>
                <w:i/>
                <w:color w:val="000000" w:themeColor="text1"/>
                <w:lang w:eastAsia="es-CL"/>
              </w:rPr>
              <w:t>Realtime</w:t>
            </w:r>
            <w:proofErr w:type="spellEnd"/>
            <w:r w:rsidRPr="004C774F">
              <w:rPr>
                <w:rFonts w:ascii="Calibri" w:hAnsi="Calibri" w:cs="Arial"/>
                <w:i/>
                <w:color w:val="000000" w:themeColor="text1"/>
                <w:lang w:eastAsia="es-CL"/>
              </w:rPr>
              <w:t>, logrando una latencia de actualización inferior a 2.5 segundos tras el pago del pedido. El tercer objetivo específico aborda la arquitectura y seguridad de datos, orientado a desplegar un modelo relacional en PostgreSQL (</w:t>
            </w:r>
            <w:proofErr w:type="spellStart"/>
            <w:r w:rsidRPr="004C774F">
              <w:rPr>
                <w:rFonts w:ascii="Calibri" w:hAnsi="Calibri" w:cs="Arial"/>
                <w:i/>
                <w:color w:val="000000" w:themeColor="text1"/>
                <w:lang w:eastAsia="es-CL"/>
              </w:rPr>
              <w:t>Supabase</w:t>
            </w:r>
            <w:proofErr w:type="spellEnd"/>
            <w:r w:rsidRPr="004C774F">
              <w:rPr>
                <w:rFonts w:ascii="Calibri" w:hAnsi="Calibri" w:cs="Arial"/>
                <w:i/>
                <w:color w:val="000000" w:themeColor="text1"/>
                <w:lang w:eastAsia="es-CL"/>
              </w:rPr>
              <w:t xml:space="preserve">) con nueve tablas normalizadas en tercera forma normal, identificadores UUID, enumeradores ENUM y doce políticas de </w:t>
            </w:r>
            <w:proofErr w:type="spellStart"/>
            <w:r w:rsidRPr="004C774F">
              <w:rPr>
                <w:rFonts w:ascii="Calibri" w:hAnsi="Calibri" w:cs="Arial"/>
                <w:i/>
                <w:color w:val="000000" w:themeColor="text1"/>
                <w:lang w:eastAsia="es-CL"/>
              </w:rPr>
              <w:t>Row</w:t>
            </w:r>
            <w:proofErr w:type="spellEnd"/>
            <w:r w:rsidRPr="004C774F">
              <w:rPr>
                <w:rFonts w:ascii="Calibri" w:hAnsi="Calibri" w:cs="Arial"/>
                <w:i/>
                <w:color w:val="000000" w:themeColor="text1"/>
                <w:lang w:eastAsia="es-CL"/>
              </w:rPr>
              <w:t xml:space="preserve"> </w:t>
            </w:r>
            <w:proofErr w:type="spellStart"/>
            <w:r w:rsidRPr="004C774F">
              <w:rPr>
                <w:rFonts w:ascii="Calibri" w:hAnsi="Calibri" w:cs="Arial"/>
                <w:i/>
                <w:color w:val="000000" w:themeColor="text1"/>
                <w:lang w:eastAsia="es-CL"/>
              </w:rPr>
              <w:t>Level</w:t>
            </w:r>
            <w:proofErr w:type="spellEnd"/>
            <w:r w:rsidRPr="004C774F">
              <w:rPr>
                <w:rFonts w:ascii="Calibri" w:hAnsi="Calibri" w:cs="Arial"/>
                <w:i/>
                <w:color w:val="000000" w:themeColor="text1"/>
                <w:lang w:eastAsia="es-CL"/>
              </w:rPr>
              <w:t xml:space="preserve"> Security (RLS) que aíslen al 100% las operaciones comerciales entre locales. Por último, el cuarto objetivo abarca la transaccionalidad y el aseguramiento de calidad, enfocado en integrar la pasarela de pagos en entorno Sandbox de </w:t>
            </w:r>
            <w:proofErr w:type="spellStart"/>
            <w:r w:rsidRPr="004C774F">
              <w:rPr>
                <w:rFonts w:ascii="Calibri" w:hAnsi="Calibri" w:cs="Arial"/>
                <w:i/>
                <w:color w:val="000000" w:themeColor="text1"/>
                <w:lang w:eastAsia="es-CL"/>
              </w:rPr>
              <w:t>MercadoPago</w:t>
            </w:r>
            <w:proofErr w:type="spellEnd"/>
            <w:r w:rsidRPr="004C774F">
              <w:rPr>
                <w:rFonts w:ascii="Calibri" w:hAnsi="Calibri" w:cs="Arial"/>
                <w:i/>
                <w:color w:val="000000" w:themeColor="text1"/>
                <w:lang w:eastAsia="es-CL"/>
              </w:rPr>
              <w:t xml:space="preserve"> mediante </w:t>
            </w:r>
            <w:proofErr w:type="spellStart"/>
            <w:r w:rsidRPr="004C774F">
              <w:rPr>
                <w:rFonts w:ascii="Calibri" w:hAnsi="Calibri" w:cs="Arial"/>
                <w:i/>
                <w:color w:val="000000" w:themeColor="text1"/>
                <w:lang w:eastAsia="es-CL"/>
              </w:rPr>
              <w:t>Webhooks</w:t>
            </w:r>
            <w:proofErr w:type="spellEnd"/>
            <w:r w:rsidRPr="004C774F">
              <w:rPr>
                <w:rFonts w:ascii="Calibri" w:hAnsi="Calibri" w:cs="Arial"/>
                <w:i/>
                <w:color w:val="000000" w:themeColor="text1"/>
                <w:lang w:eastAsia="es-CL"/>
              </w:rPr>
              <w:t xml:space="preserve"> asíncronos y Edge </w:t>
            </w:r>
            <w:proofErr w:type="spellStart"/>
            <w:r w:rsidRPr="004C774F">
              <w:rPr>
                <w:rFonts w:ascii="Calibri" w:hAnsi="Calibri" w:cs="Arial"/>
                <w:i/>
                <w:color w:val="000000" w:themeColor="text1"/>
                <w:lang w:eastAsia="es-CL"/>
              </w:rPr>
              <w:t>Functions</w:t>
            </w:r>
            <w:proofErr w:type="spellEnd"/>
            <w:r w:rsidRPr="004C774F">
              <w:rPr>
                <w:rFonts w:ascii="Calibri" w:hAnsi="Calibri" w:cs="Arial"/>
                <w:i/>
                <w:color w:val="000000" w:themeColor="text1"/>
                <w:lang w:eastAsia="es-CL"/>
              </w:rPr>
              <w:t>, validando a través de pruebas de concurrencia que los bloqueos a nivel de fila (SELECT ... FOR UPDATE) impidan condiciones de carrera (</w:t>
            </w:r>
            <w:proofErr w:type="spellStart"/>
            <w:r w:rsidRPr="004C774F">
              <w:rPr>
                <w:rFonts w:ascii="Calibri" w:hAnsi="Calibri" w:cs="Arial"/>
                <w:i/>
                <w:color w:val="000000" w:themeColor="text1"/>
                <w:lang w:eastAsia="es-CL"/>
              </w:rPr>
              <w:t>race</w:t>
            </w:r>
            <w:proofErr w:type="spellEnd"/>
            <w:r w:rsidRPr="004C774F">
              <w:rPr>
                <w:rFonts w:ascii="Calibri" w:hAnsi="Calibri" w:cs="Arial"/>
                <w:i/>
                <w:color w:val="000000" w:themeColor="text1"/>
                <w:lang w:eastAsia="es-CL"/>
              </w:rPr>
              <w:t xml:space="preserve"> </w:t>
            </w:r>
            <w:proofErr w:type="spellStart"/>
            <w:r w:rsidRPr="004C774F">
              <w:rPr>
                <w:rFonts w:ascii="Calibri" w:hAnsi="Calibri" w:cs="Arial"/>
                <w:i/>
                <w:color w:val="000000" w:themeColor="text1"/>
                <w:lang w:eastAsia="es-CL"/>
              </w:rPr>
              <w:t>conditions</w:t>
            </w:r>
            <w:proofErr w:type="spellEnd"/>
            <w:r w:rsidRPr="004C774F">
              <w:rPr>
                <w:rFonts w:ascii="Calibri" w:hAnsi="Calibri" w:cs="Arial"/>
                <w:i/>
                <w:color w:val="000000" w:themeColor="text1"/>
                <w:lang w:eastAsia="es-CL"/>
              </w:rPr>
              <w:t>) y sobreventas de inventario en compras simultáneas del último producto en stock.</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6B2C0E87" w14:textId="3340CD4A" w:rsidR="004C774F" w:rsidRDefault="004C774F" w:rsidP="00946E78">
            <w:pPr>
              <w:ind w:left="720"/>
            </w:pPr>
            <w:r>
              <w:t xml:space="preserve">Para ejecutar el proyecto se seleccionó una metodología ágil híbrida </w:t>
            </w:r>
            <w:proofErr w:type="spellStart"/>
            <w:r>
              <w:t>Scrumban</w:t>
            </w:r>
            <w:proofErr w:type="spellEnd"/>
            <w:r>
              <w:t xml:space="preserve">, complementando la cadencia temporal y las ceremonias estructuradas de Scrum (planificaciones quincenales, entregas por </w:t>
            </w:r>
            <w:proofErr w:type="spellStart"/>
            <w:r>
              <w:t>Sprints</w:t>
            </w:r>
            <w:proofErr w:type="spellEnd"/>
            <w:r>
              <w:t xml:space="preserve"> y retrospectivas) con la flexibilidad operativa y visualización continua del flujo de trabajo propia de Kanban a través de GitHub </w:t>
            </w:r>
            <w:proofErr w:type="spellStart"/>
            <w:r>
              <w:t>Projects</w:t>
            </w:r>
            <w:proofErr w:type="spellEnd"/>
            <w:r>
              <w:t xml:space="preserve">. El ciclo de desarrollo se dividió formalmente en cuatro etapas consecutivas: la Fase 1 de Planificación y Arquitectura durante agosto, centrada en el levantamiento de requisitos funcionales, diagramación UML (casos de uso, componentes, clases y despliegue), diseño del esquema relacional en </w:t>
            </w:r>
            <w:proofErr w:type="spellStart"/>
            <w:r>
              <w:t>Supabase</w:t>
            </w:r>
            <w:proofErr w:type="spellEnd"/>
            <w:r>
              <w:t xml:space="preserve"> y prototipado de interfaces en </w:t>
            </w:r>
            <w:proofErr w:type="spellStart"/>
            <w:r>
              <w:t>Figma</w:t>
            </w:r>
            <w:proofErr w:type="spellEnd"/>
            <w:r>
              <w:t xml:space="preserve">; la Fase 2 de Desarrollo Core entre septiembre y octubre, donde se codificaron los esquemas SQL, la autenticación </w:t>
            </w:r>
            <w:proofErr w:type="spellStart"/>
            <w:r>
              <w:t>multi-rol</w:t>
            </w:r>
            <w:proofErr w:type="spellEnd"/>
            <w:r>
              <w:t xml:space="preserve"> vía </w:t>
            </w:r>
            <w:proofErr w:type="spellStart"/>
            <w:r>
              <w:t>Supabase</w:t>
            </w:r>
            <w:proofErr w:type="spellEnd"/>
            <w:r>
              <w:t xml:space="preserve"> </w:t>
            </w:r>
            <w:proofErr w:type="spellStart"/>
            <w:r>
              <w:t>Auth</w:t>
            </w:r>
            <w:proofErr w:type="spellEnd"/>
            <w:r>
              <w:t xml:space="preserve"> (</w:t>
            </w:r>
            <w:proofErr w:type="spellStart"/>
            <w:r>
              <w:t>GoTrue</w:t>
            </w:r>
            <w:proofErr w:type="spellEnd"/>
            <w:r>
              <w:t xml:space="preserve">), las operaciones CRUD del catálogo web y las interfaces móviles iniciales; la Fase 3 de Transaccionalidad y Tiempo Real durante noviembre, enfocada en la recepción de </w:t>
            </w:r>
            <w:proofErr w:type="spellStart"/>
            <w:r>
              <w:t>Webhooks</w:t>
            </w:r>
            <w:proofErr w:type="spellEnd"/>
            <w:r>
              <w:t xml:space="preserve"> de </w:t>
            </w:r>
            <w:proofErr w:type="spellStart"/>
            <w:r>
              <w:t>MercadoPago</w:t>
            </w:r>
            <w:proofErr w:type="spellEnd"/>
            <w:r>
              <w:t xml:space="preserve">, la reactividad </w:t>
            </w:r>
            <w:r>
              <w:lastRenderedPageBreak/>
              <w:t xml:space="preserve">por </w:t>
            </w:r>
            <w:proofErr w:type="spellStart"/>
            <w:r>
              <w:t>WebSockets</w:t>
            </w:r>
            <w:proofErr w:type="spellEnd"/>
            <w:r>
              <w:t xml:space="preserve"> para el tablero de cocina y la auditoría de políticas RLS; y la Fase 4 de Pruebas y Despliegue en diciembre, destinada a la ejecución de pruebas de estrés transaccional, aseguramiento de calidad con los locales piloto y la defensa final de Portafolio.</w:t>
            </w:r>
          </w:p>
          <w:p w14:paraId="396694F6" w14:textId="7098343A" w:rsidR="004C774F" w:rsidRPr="00B340E1" w:rsidRDefault="004C774F" w:rsidP="00946E78">
            <w:pPr>
              <w:ind w:left="720"/>
              <w:rPr>
                <w:rFonts w:ascii="Calibri" w:hAnsi="Calibri" w:cs="Arial"/>
                <w:i/>
                <w:color w:val="0070C0"/>
                <w:sz w:val="18"/>
                <w:szCs w:val="20"/>
                <w:lang w:eastAsia="es-CL"/>
              </w:rPr>
            </w:pPr>
            <w:r>
              <w:t xml:space="preserve">Esta metodología resultó idónea para cumplir los objetivos ya que permitió gestionar de manera eficiente los recursos y tiempos de un equipo de cuatro integrantes con dedicación académica parcial, otorgando adaptabilidad frente a los bloqueos de integración. Para mitigar las curvas de aprendizaje en tecnologías como </w:t>
            </w:r>
            <w:proofErr w:type="spellStart"/>
            <w:r>
              <w:t>React</w:t>
            </w:r>
            <w:proofErr w:type="spellEnd"/>
            <w:r>
              <w:t xml:space="preserve"> Native, Next.js y </w:t>
            </w:r>
            <w:proofErr w:type="spellStart"/>
            <w:r>
              <w:t>Supabase</w:t>
            </w:r>
            <w:proofErr w:type="spellEnd"/>
            <w:r>
              <w:t xml:space="preserve"> </w:t>
            </w:r>
            <w:proofErr w:type="spellStart"/>
            <w:r>
              <w:t>Realtime</w:t>
            </w:r>
            <w:proofErr w:type="spellEnd"/>
            <w:r>
              <w:t>, se aplicó la técnica de "Propiedad de Componentes" (</w:t>
            </w:r>
            <w:proofErr w:type="spellStart"/>
            <w:r>
              <w:rPr>
                <w:i/>
                <w:iCs/>
              </w:rPr>
              <w:t>Component</w:t>
            </w:r>
            <w:proofErr w:type="spellEnd"/>
            <w:r>
              <w:rPr>
                <w:i/>
                <w:iCs/>
              </w:rPr>
              <w:t xml:space="preserve"> </w:t>
            </w:r>
            <w:proofErr w:type="spellStart"/>
            <w:r>
              <w:rPr>
                <w:i/>
                <w:iCs/>
              </w:rPr>
              <w:t>Ownership</w:t>
            </w:r>
            <w:proofErr w:type="spellEnd"/>
            <w:r>
              <w:t xml:space="preserve">), asignando responsabilidades profundas por módulo: Martín Aburto asumió la dirección de producto y el </w:t>
            </w:r>
            <w:proofErr w:type="spellStart"/>
            <w:r>
              <w:t>frontend</w:t>
            </w:r>
            <w:proofErr w:type="spellEnd"/>
            <w:r>
              <w:t xml:space="preserve"> móvil, Andrés Barría la coordinación ágil y la arquitectura </w:t>
            </w:r>
            <w:proofErr w:type="spellStart"/>
            <w:r>
              <w:t>backend</w:t>
            </w:r>
            <w:proofErr w:type="spellEnd"/>
            <w:r>
              <w:t xml:space="preserve"> y de base de datos, Juan Pizarro la interfaz reactiva del tablero Kanban en cocina y Elías Orellana la gestión del catálogo e inventario para comerciantes. Asimismo, el flujo de desarrollo se controló mediante ramas protegidas en GitHub, prohibiendo confirmaciones directas a la rama principal (</w:t>
            </w:r>
            <w:proofErr w:type="spellStart"/>
            <w:r>
              <w:rPr>
                <w:rStyle w:val="CdigoHTML"/>
                <w:rFonts w:eastAsiaTheme="minorHAnsi"/>
              </w:rPr>
              <w:t>main</w:t>
            </w:r>
            <w:proofErr w:type="spellEnd"/>
            <w:r>
              <w:t xml:space="preserve">) y exigiendo la revisión obligatoria de </w:t>
            </w:r>
            <w:proofErr w:type="spellStart"/>
            <w:r>
              <w:t>Pull</w:t>
            </w:r>
            <w:proofErr w:type="spellEnd"/>
            <w:r>
              <w:t xml:space="preserve"> </w:t>
            </w:r>
            <w:proofErr w:type="spellStart"/>
            <w:r>
              <w:t>Requests</w:t>
            </w:r>
            <w:proofErr w:type="spellEnd"/>
            <w:r>
              <w:t>, lo que evitó colisiones de código y garantizó un código limpio, modular y auditable.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179CCAAA" w14:textId="77777777" w:rsidR="001202BF" w:rsidRDefault="004C774F" w:rsidP="00585A13">
            <w:pPr>
              <w:ind w:left="720"/>
              <w:rPr>
                <w:rFonts w:ascii="Calibri" w:hAnsi="Calibri" w:cs="Arial"/>
                <w:i/>
                <w:color w:val="0070C0"/>
                <w:sz w:val="18"/>
                <w:szCs w:val="20"/>
                <w:lang w:eastAsia="es-CL"/>
              </w:rPr>
            </w:pPr>
            <w:r>
              <w:t xml:space="preserve">Las actividades técnicas del proyecto comenzaron con el diseño y normalización de la base de datos relacional PostgreSQL 15 alojada en </w:t>
            </w:r>
            <w:proofErr w:type="spellStart"/>
            <w:r>
              <w:t>Supabase</w:t>
            </w:r>
            <w:proofErr w:type="spellEnd"/>
            <w:r>
              <w:t xml:space="preserve">, donde se modelaron nueve tablas principales asegurando integridad referencial en cascada, tipos ENUM para los estados transaccionales y claves primarias UUID para neutralizar ataques de enumeración. Posteriormente, se implementaron doce directivas de </w:t>
            </w:r>
            <w:proofErr w:type="spellStart"/>
            <w:r>
              <w:t>Row</w:t>
            </w:r>
            <w:proofErr w:type="spellEnd"/>
            <w:r>
              <w:t xml:space="preserve"> </w:t>
            </w:r>
            <w:proofErr w:type="spellStart"/>
            <w:r>
              <w:t>Level</w:t>
            </w:r>
            <w:proofErr w:type="spellEnd"/>
            <w:r>
              <w:t xml:space="preserve"> Security (RLS) para proteger los datos a nivel de motor, garantizando que los alumnos solo consulten sus transacciones mediante la regla </w:t>
            </w:r>
            <w:proofErr w:type="spellStart"/>
            <w:proofErr w:type="gramStart"/>
            <w:r>
              <w:rPr>
                <w:rStyle w:val="CdigoHTML"/>
                <w:rFonts w:eastAsiaTheme="minorHAnsi"/>
              </w:rPr>
              <w:t>auth.uid</w:t>
            </w:r>
            <w:proofErr w:type="spellEnd"/>
            <w:r>
              <w:rPr>
                <w:rStyle w:val="CdigoHTML"/>
                <w:rFonts w:eastAsiaTheme="minorHAnsi"/>
              </w:rPr>
              <w:t>(</w:t>
            </w:r>
            <w:proofErr w:type="gramEnd"/>
            <w:r>
              <w:rPr>
                <w:rStyle w:val="CdigoHTML"/>
                <w:rFonts w:eastAsiaTheme="minorHAnsi"/>
              </w:rPr>
              <w:t xml:space="preserve">) = </w:t>
            </w:r>
            <w:proofErr w:type="spellStart"/>
            <w:r>
              <w:rPr>
                <w:rStyle w:val="CdigoHTML"/>
                <w:rFonts w:eastAsiaTheme="minorHAnsi"/>
              </w:rPr>
              <w:t>usuario_id</w:t>
            </w:r>
            <w:proofErr w:type="spellEnd"/>
            <w:r>
              <w:t xml:space="preserve"> y que los comerciantes solo visualicen las ventas de su establecimiento (</w:t>
            </w:r>
            <w:proofErr w:type="spellStart"/>
            <w:r>
              <w:rPr>
                <w:rStyle w:val="CdigoHTML"/>
                <w:rFonts w:eastAsiaTheme="minorHAnsi"/>
              </w:rPr>
              <w:t>locatario_id</w:t>
            </w:r>
            <w:proofErr w:type="spellEnd"/>
            <w:r>
              <w:rPr>
                <w:rStyle w:val="CdigoHTML"/>
                <w:rFonts w:eastAsiaTheme="minorHAnsi"/>
              </w:rPr>
              <w:t xml:space="preserve"> = </w:t>
            </w:r>
            <w:proofErr w:type="spellStart"/>
            <w:r>
              <w:rPr>
                <w:rStyle w:val="CdigoHTML"/>
                <w:rFonts w:eastAsiaTheme="minorHAnsi"/>
              </w:rPr>
              <w:t>auth.uid</w:t>
            </w:r>
            <w:proofErr w:type="spellEnd"/>
            <w:r>
              <w:rPr>
                <w:rStyle w:val="CdigoHTML"/>
                <w:rFonts w:eastAsiaTheme="minorHAnsi"/>
              </w:rPr>
              <w:t>()</w:t>
            </w:r>
            <w:r>
              <w:t xml:space="preserve">). En el </w:t>
            </w:r>
            <w:proofErr w:type="spellStart"/>
            <w:r>
              <w:t>frontend</w:t>
            </w:r>
            <w:proofErr w:type="spellEnd"/>
            <w:r>
              <w:t xml:space="preserve"> móvil se construyó la aplicación en </w:t>
            </w:r>
            <w:proofErr w:type="spellStart"/>
            <w:r>
              <w:t>React</w:t>
            </w:r>
            <w:proofErr w:type="spellEnd"/>
            <w:r>
              <w:t xml:space="preserve"> Native con Expo, programando los módulos de autenticación institucional, exploración de los cinco comercios, selección dinámica de agregados y carro de compras con la restricción de admitir un solo local por pedido. En la capa web, se edificó el portal administrativo en Next.js con </w:t>
            </w:r>
            <w:proofErr w:type="spellStart"/>
            <w:r>
              <w:t>Tailwind</w:t>
            </w:r>
            <w:proofErr w:type="spellEnd"/>
            <w:r>
              <w:t xml:space="preserve"> CSS para la administración de cartas con borrado lógico (</w:t>
            </w:r>
            <w:proofErr w:type="spellStart"/>
            <w:r>
              <w:rPr>
                <w:i/>
                <w:iCs/>
              </w:rPr>
              <w:t>soft-deletes</w:t>
            </w:r>
            <w:proofErr w:type="spellEnd"/>
            <w:r>
              <w:t xml:space="preserve">) y el tablero Kanban operativo que actualiza el estado de las órdenes en preparación y despacho en milisegundos mediante </w:t>
            </w:r>
            <w:proofErr w:type="spellStart"/>
            <w:r>
              <w:t>WebSockets</w:t>
            </w:r>
            <w:proofErr w:type="spellEnd"/>
            <w:r>
              <w:t xml:space="preserve">. Finalmente, se conectó la pasarela de </w:t>
            </w:r>
            <w:proofErr w:type="spellStart"/>
            <w:r>
              <w:t>MercadoPago</w:t>
            </w:r>
            <w:proofErr w:type="spellEnd"/>
            <w:r>
              <w:t xml:space="preserve"> Sandbox mediante </w:t>
            </w:r>
            <w:proofErr w:type="spellStart"/>
            <w:r>
              <w:t>Webhooks</w:t>
            </w:r>
            <w:proofErr w:type="spellEnd"/>
            <w:r>
              <w:t xml:space="preserve"> en </w:t>
            </w:r>
            <w:proofErr w:type="spellStart"/>
            <w:r>
              <w:t>Supabase</w:t>
            </w:r>
            <w:proofErr w:type="spellEnd"/>
            <w:r>
              <w:t xml:space="preserve"> Edge </w:t>
            </w:r>
            <w:proofErr w:type="spellStart"/>
            <w:r>
              <w:lastRenderedPageBreak/>
              <w:t>Functions</w:t>
            </w:r>
            <w:proofErr w:type="spellEnd"/>
            <w:r>
              <w:t xml:space="preserve"> y se programó el módulo de retiro por código alfanumérico nemotécnico de 4 caracteres. </w:t>
            </w:r>
            <w:r w:rsidR="001202BF" w:rsidRPr="00B340E1">
              <w:rPr>
                <w:rFonts w:ascii="Calibri" w:hAnsi="Calibri" w:cs="Arial"/>
                <w:i/>
                <w:color w:val="0070C0"/>
                <w:sz w:val="18"/>
                <w:szCs w:val="20"/>
                <w:lang w:eastAsia="es-CL"/>
              </w:rPr>
              <w:t xml:space="preserve"> </w:t>
            </w:r>
          </w:p>
          <w:p w14:paraId="2645E6CB" w14:textId="77777777" w:rsidR="004C774F" w:rsidRDefault="004C774F" w:rsidP="00585A13">
            <w:pPr>
              <w:ind w:left="720"/>
              <w:rPr>
                <w:rFonts w:ascii="Calibri" w:hAnsi="Calibri" w:cs="Arial"/>
                <w:i/>
                <w:color w:val="0070C0"/>
                <w:sz w:val="18"/>
                <w:szCs w:val="20"/>
                <w:lang w:eastAsia="es-CL"/>
              </w:rPr>
            </w:pPr>
          </w:p>
          <w:p w14:paraId="59784A1A" w14:textId="603A91E4" w:rsidR="004C774F" w:rsidRPr="00B340E1" w:rsidRDefault="004C774F" w:rsidP="00585A13">
            <w:pPr>
              <w:ind w:left="720"/>
              <w:rPr>
                <w:rFonts w:ascii="Calibri" w:hAnsi="Calibri" w:cs="Arial"/>
                <w:i/>
                <w:color w:val="0070C0"/>
                <w:sz w:val="18"/>
                <w:szCs w:val="20"/>
                <w:lang w:eastAsia="es-CL"/>
              </w:rPr>
            </w:pPr>
            <w:r>
              <w:t xml:space="preserve">El desarrollo se vio favorecido por la arquitectura </w:t>
            </w:r>
            <w:proofErr w:type="spellStart"/>
            <w:r>
              <w:t>Serverless</w:t>
            </w:r>
            <w:proofErr w:type="spellEnd"/>
            <w:r>
              <w:t>/</w:t>
            </w:r>
            <w:proofErr w:type="spellStart"/>
            <w:r>
              <w:t>BaaS</w:t>
            </w:r>
            <w:proofErr w:type="spellEnd"/>
            <w:r>
              <w:t xml:space="preserve"> de </w:t>
            </w:r>
            <w:proofErr w:type="spellStart"/>
            <w:r>
              <w:t>Supabase</w:t>
            </w:r>
            <w:proofErr w:type="spellEnd"/>
            <w:r>
              <w:t xml:space="preserve">, que generó automáticamente </w:t>
            </w:r>
            <w:proofErr w:type="spellStart"/>
            <w:r>
              <w:t>APIs</w:t>
            </w:r>
            <w:proofErr w:type="spellEnd"/>
            <w:r>
              <w:t xml:space="preserve"> REST y servicios de autenticación JWT reduciendo el trabajo de </w:t>
            </w:r>
            <w:proofErr w:type="spellStart"/>
            <w:r>
              <w:t>backend</w:t>
            </w:r>
            <w:proofErr w:type="spellEnd"/>
            <w:r>
              <w:t xml:space="preserve"> en más de un 60%, junto a la agilidad de Expo </w:t>
            </w:r>
            <w:proofErr w:type="spellStart"/>
            <w:r>
              <w:t>Go</w:t>
            </w:r>
            <w:proofErr w:type="spellEnd"/>
            <w:r>
              <w:t xml:space="preserve"> para probar interfaces de usuario directamente en teléfonos inteligentes reales. También fue clave la colaboración de los concesionarios del campus al facilitar cartas y tiempos de cocción. No obstante, el equipo enfrentó dificultades relevantes: las reglas RLS iniciales bloquearon involuntariamente las consultas públicas del catálogo a alumnos no autenticados, lo que se solucionó segregando políticas públicas de consulta de aquellas privadas de modificación; las fluctuaciones del </w:t>
            </w:r>
            <w:proofErr w:type="spellStart"/>
            <w:r>
              <w:t>Wi</w:t>
            </w:r>
            <w:proofErr w:type="spellEnd"/>
            <w:r>
              <w:t xml:space="preserve">-Fi en la sede desconectaban los </w:t>
            </w:r>
            <w:proofErr w:type="spellStart"/>
            <w:r>
              <w:t>WebSockets</w:t>
            </w:r>
            <w:proofErr w:type="spellEnd"/>
            <w:r>
              <w:t xml:space="preserve"> del tablero de cocina, riesgo que se mitigó programando reconexión automática y un respaldo de consulta periódica (</w:t>
            </w:r>
            <w:proofErr w:type="spellStart"/>
            <w:r>
              <w:rPr>
                <w:i/>
                <w:iCs/>
              </w:rPr>
              <w:t>polling</w:t>
            </w:r>
            <w:proofErr w:type="spellEnd"/>
            <w:r>
              <w:rPr>
                <w:i/>
                <w:iCs/>
              </w:rPr>
              <w:t xml:space="preserve"> </w:t>
            </w:r>
            <w:proofErr w:type="spellStart"/>
            <w:r>
              <w:rPr>
                <w:i/>
                <w:iCs/>
              </w:rPr>
              <w:t>fallback</w:t>
            </w:r>
            <w:proofErr w:type="spellEnd"/>
            <w:r>
              <w:t xml:space="preserve">) cada 15 segundos; y la carga de imágenes en Base64 saturaba las tablas relacionales, obligando a migrar los archivos a </w:t>
            </w:r>
            <w:proofErr w:type="spellStart"/>
            <w:r>
              <w:t>buckets</w:t>
            </w:r>
            <w:proofErr w:type="spellEnd"/>
            <w:r>
              <w:t xml:space="preserve"> optimizados en </w:t>
            </w:r>
            <w:proofErr w:type="spellStart"/>
            <w:r>
              <w:t>Supabase</w:t>
            </w:r>
            <w:proofErr w:type="spellEnd"/>
            <w:r>
              <w:t xml:space="preserve"> Storage guardando únicamente su enlace público. Como ajuste operativo en mostrador, se descubrió que escanear códigos QR con </w:t>
            </w:r>
            <w:proofErr w:type="spellStart"/>
            <w:r>
              <w:t>tablets</w:t>
            </w:r>
            <w:proofErr w:type="spellEnd"/>
            <w:r>
              <w:t xml:space="preserve"> ralentizaba el despacho en horas punta, por lo que se priorizó el dictado o muestra del código nemotécnico de 4 dígitos, dejando el QR como soporte. Por último, se delimitó formalmente el alcance descartando entregas a salas (</w:t>
            </w:r>
            <w:proofErr w:type="spellStart"/>
            <w:r>
              <w:t>delivery</w:t>
            </w:r>
            <w:proofErr w:type="spellEnd"/>
            <w:r>
              <w:t>) y pagos bancarios reales para concentrar el 100% del esfuerzo en la estabilidad del MVP de retiro presencial en Sandbox.</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0AA181F1" w:rsidR="004C774F" w:rsidRPr="004C774F" w:rsidRDefault="004C774F" w:rsidP="004C774F">
            <w:pPr>
              <w:pStyle w:val="Prrafodelista"/>
              <w:spacing w:after="0" w:line="240" w:lineRule="auto"/>
              <w:ind w:left="314"/>
              <w:jc w:val="both"/>
              <w:rPr>
                <w:bCs/>
                <w:iCs/>
                <w:color w:val="000000" w:themeColor="text1"/>
                <w:szCs w:val="28"/>
              </w:rPr>
            </w:pPr>
            <w:r w:rsidRPr="004C774F">
              <w:rPr>
                <w:bCs/>
                <w:iCs/>
                <w:color w:val="000000" w:themeColor="text1"/>
                <w:szCs w:val="28"/>
              </w:rPr>
              <w:t xml:space="preserve">Para validar el desarrollo y los resultados del proyecto, se dispone en primer lugar del repositorio </w:t>
            </w:r>
            <w:proofErr w:type="spellStart"/>
            <w:r w:rsidRPr="004C774F">
              <w:rPr>
                <w:bCs/>
                <w:iCs/>
                <w:color w:val="000000" w:themeColor="text1"/>
                <w:szCs w:val="28"/>
              </w:rPr>
              <w:t>monorepo</w:t>
            </w:r>
            <w:proofErr w:type="spellEnd"/>
            <w:r w:rsidRPr="004C774F">
              <w:rPr>
                <w:bCs/>
                <w:iCs/>
                <w:color w:val="000000" w:themeColor="text1"/>
                <w:szCs w:val="28"/>
              </w:rPr>
              <w:t xml:space="preserve"> en GitHub, el cual contiene el historial íntegro de más de 80 </w:t>
            </w:r>
            <w:proofErr w:type="spellStart"/>
            <w:r w:rsidRPr="004C774F">
              <w:rPr>
                <w:bCs/>
                <w:iCs/>
                <w:color w:val="000000" w:themeColor="text1"/>
                <w:szCs w:val="28"/>
              </w:rPr>
              <w:t>commits</w:t>
            </w:r>
            <w:proofErr w:type="spellEnd"/>
            <w:r w:rsidRPr="004C774F">
              <w:rPr>
                <w:bCs/>
                <w:iCs/>
                <w:color w:val="000000" w:themeColor="text1"/>
                <w:szCs w:val="28"/>
              </w:rPr>
              <w:t xml:space="preserve"> convencionales organizados por funcionalidades, ramas de trabajo protegidas (</w:t>
            </w:r>
            <w:proofErr w:type="spellStart"/>
            <w:r w:rsidRPr="004C774F">
              <w:rPr>
                <w:bCs/>
                <w:iCs/>
                <w:color w:val="000000" w:themeColor="text1"/>
                <w:szCs w:val="28"/>
              </w:rPr>
              <w:t>main</w:t>
            </w:r>
            <w:proofErr w:type="spellEnd"/>
            <w:r w:rsidRPr="004C774F">
              <w:rPr>
                <w:bCs/>
                <w:iCs/>
                <w:color w:val="000000" w:themeColor="text1"/>
                <w:szCs w:val="28"/>
              </w:rPr>
              <w:t xml:space="preserve">, </w:t>
            </w:r>
            <w:proofErr w:type="spellStart"/>
            <w:r w:rsidRPr="004C774F">
              <w:rPr>
                <w:bCs/>
                <w:iCs/>
                <w:color w:val="000000" w:themeColor="text1"/>
                <w:szCs w:val="28"/>
              </w:rPr>
              <w:t>develop</w:t>
            </w:r>
            <w:proofErr w:type="spellEnd"/>
            <w:r w:rsidRPr="004C774F">
              <w:rPr>
                <w:bCs/>
                <w:iCs/>
                <w:color w:val="000000" w:themeColor="text1"/>
                <w:szCs w:val="28"/>
              </w:rPr>
              <w:t xml:space="preserve"> y ramas </w:t>
            </w:r>
            <w:proofErr w:type="spellStart"/>
            <w:r w:rsidRPr="004C774F">
              <w:rPr>
                <w:bCs/>
                <w:iCs/>
                <w:color w:val="000000" w:themeColor="text1"/>
                <w:szCs w:val="28"/>
              </w:rPr>
              <w:t>feature</w:t>
            </w:r>
            <w:proofErr w:type="spellEnd"/>
            <w:r w:rsidRPr="004C774F">
              <w:rPr>
                <w:bCs/>
                <w:iCs/>
                <w:color w:val="000000" w:themeColor="text1"/>
                <w:szCs w:val="28"/>
              </w:rPr>
              <w:t xml:space="preserve">/*), </w:t>
            </w:r>
            <w:proofErr w:type="spellStart"/>
            <w:r w:rsidRPr="004C774F">
              <w:rPr>
                <w:bCs/>
                <w:iCs/>
                <w:color w:val="000000" w:themeColor="text1"/>
                <w:szCs w:val="28"/>
              </w:rPr>
              <w:t>Pull</w:t>
            </w:r>
            <w:proofErr w:type="spellEnd"/>
            <w:r w:rsidRPr="004C774F">
              <w:rPr>
                <w:bCs/>
                <w:iCs/>
                <w:color w:val="000000" w:themeColor="text1"/>
                <w:szCs w:val="28"/>
              </w:rPr>
              <w:t xml:space="preserve"> </w:t>
            </w:r>
            <w:proofErr w:type="spellStart"/>
            <w:r w:rsidRPr="004C774F">
              <w:rPr>
                <w:bCs/>
                <w:iCs/>
                <w:color w:val="000000" w:themeColor="text1"/>
                <w:szCs w:val="28"/>
              </w:rPr>
              <w:t>Requests</w:t>
            </w:r>
            <w:proofErr w:type="spellEnd"/>
            <w:r w:rsidRPr="004C774F">
              <w:rPr>
                <w:bCs/>
                <w:iCs/>
                <w:color w:val="000000" w:themeColor="text1"/>
                <w:szCs w:val="28"/>
              </w:rPr>
              <w:t xml:space="preserve"> revisados y el tablero de GitHub </w:t>
            </w:r>
            <w:proofErr w:type="spellStart"/>
            <w:r w:rsidRPr="004C774F">
              <w:rPr>
                <w:bCs/>
                <w:iCs/>
                <w:color w:val="000000" w:themeColor="text1"/>
                <w:szCs w:val="28"/>
              </w:rPr>
              <w:t>Projects</w:t>
            </w:r>
            <w:proofErr w:type="spellEnd"/>
            <w:r w:rsidRPr="004C774F">
              <w:rPr>
                <w:bCs/>
                <w:iCs/>
                <w:color w:val="000000" w:themeColor="text1"/>
                <w:szCs w:val="28"/>
              </w:rPr>
              <w:t xml:space="preserve"> con las historias de usuario y épicas completadas. Como segunda evidencia técnica, se entrega el script DDL exportado desde </w:t>
            </w:r>
            <w:proofErr w:type="spellStart"/>
            <w:r w:rsidRPr="004C774F">
              <w:rPr>
                <w:bCs/>
                <w:iCs/>
                <w:color w:val="000000" w:themeColor="text1"/>
                <w:szCs w:val="28"/>
              </w:rPr>
              <w:t>Supabase</w:t>
            </w:r>
            <w:proofErr w:type="spellEnd"/>
            <w:r w:rsidRPr="004C774F">
              <w:rPr>
                <w:bCs/>
                <w:iCs/>
                <w:color w:val="000000" w:themeColor="text1"/>
                <w:szCs w:val="28"/>
              </w:rPr>
              <w:t xml:space="preserve"> que documenta la creación de las nueve tablas relacionales, llaves foráneas, índices de búsqueda B-</w:t>
            </w:r>
            <w:proofErr w:type="spellStart"/>
            <w:r w:rsidRPr="004C774F">
              <w:rPr>
                <w:bCs/>
                <w:iCs/>
                <w:color w:val="000000" w:themeColor="text1"/>
                <w:szCs w:val="28"/>
              </w:rPr>
              <w:t>Tree</w:t>
            </w:r>
            <w:proofErr w:type="spellEnd"/>
            <w:r w:rsidRPr="004C774F">
              <w:rPr>
                <w:bCs/>
                <w:iCs/>
                <w:color w:val="000000" w:themeColor="text1"/>
                <w:szCs w:val="28"/>
              </w:rPr>
              <w:t xml:space="preserve">, enumeradores ENUM y las doce políticas de seguridad </w:t>
            </w:r>
            <w:proofErr w:type="spellStart"/>
            <w:r w:rsidRPr="004C774F">
              <w:rPr>
                <w:bCs/>
                <w:iCs/>
                <w:color w:val="000000" w:themeColor="text1"/>
                <w:szCs w:val="28"/>
              </w:rPr>
              <w:t>Row</w:t>
            </w:r>
            <w:proofErr w:type="spellEnd"/>
            <w:r w:rsidRPr="004C774F">
              <w:rPr>
                <w:bCs/>
                <w:iCs/>
                <w:color w:val="000000" w:themeColor="text1"/>
                <w:szCs w:val="28"/>
              </w:rPr>
              <w:t xml:space="preserve"> </w:t>
            </w:r>
            <w:proofErr w:type="spellStart"/>
            <w:r w:rsidRPr="004C774F">
              <w:rPr>
                <w:bCs/>
                <w:iCs/>
                <w:color w:val="000000" w:themeColor="text1"/>
                <w:szCs w:val="28"/>
              </w:rPr>
              <w:t>Level</w:t>
            </w:r>
            <w:proofErr w:type="spellEnd"/>
            <w:r w:rsidRPr="004C774F">
              <w:rPr>
                <w:bCs/>
                <w:iCs/>
                <w:color w:val="000000" w:themeColor="text1"/>
                <w:szCs w:val="28"/>
              </w:rPr>
              <w:t xml:space="preserve"> Security (RLS) acompañadas de las pruebas de auditoría SQL que demuestran el bloqueo 403 ante intentos de lectura cruzada entre locales.   En tercer lugar, se presenta el artefacto ejecutable de la aplicación móvil para estudiantes mediante el entorno Expo </w:t>
            </w:r>
            <w:proofErr w:type="spellStart"/>
            <w:r w:rsidRPr="004C774F">
              <w:rPr>
                <w:bCs/>
                <w:iCs/>
                <w:color w:val="000000" w:themeColor="text1"/>
                <w:szCs w:val="28"/>
              </w:rPr>
              <w:t>Go</w:t>
            </w:r>
            <w:proofErr w:type="spellEnd"/>
            <w:r w:rsidRPr="004C774F">
              <w:rPr>
                <w:bCs/>
                <w:iCs/>
                <w:color w:val="000000" w:themeColor="text1"/>
                <w:szCs w:val="28"/>
              </w:rPr>
              <w:t xml:space="preserve"> y el paquete instalador APK para Android, respaldado por demostraciones audiovisuales que evidencian el flujo de </w:t>
            </w:r>
            <w:proofErr w:type="spellStart"/>
            <w:r w:rsidRPr="004C774F">
              <w:rPr>
                <w:bCs/>
                <w:iCs/>
                <w:color w:val="000000" w:themeColor="text1"/>
                <w:szCs w:val="28"/>
              </w:rPr>
              <w:t>login</w:t>
            </w:r>
            <w:proofErr w:type="spellEnd"/>
            <w:r w:rsidRPr="004C774F">
              <w:rPr>
                <w:bCs/>
                <w:iCs/>
                <w:color w:val="000000" w:themeColor="text1"/>
                <w:szCs w:val="28"/>
              </w:rPr>
              <w:t xml:space="preserve">, exploración de los cinco locales, selección de productos con cálculo de subtotales en CLP, simulación de pago y </w:t>
            </w:r>
            <w:r w:rsidRPr="004C774F">
              <w:rPr>
                <w:bCs/>
                <w:iCs/>
                <w:color w:val="000000" w:themeColor="text1"/>
                <w:szCs w:val="28"/>
              </w:rPr>
              <w:lastRenderedPageBreak/>
              <w:t xml:space="preserve">generación del código de retiro de cuatro caracteres junto a su código QR. Como cuarta evidencia, se encuentra el despliegue funcional del portal web en </w:t>
            </w:r>
            <w:proofErr w:type="spellStart"/>
            <w:r w:rsidRPr="004C774F">
              <w:rPr>
                <w:bCs/>
                <w:iCs/>
                <w:color w:val="000000" w:themeColor="text1"/>
                <w:szCs w:val="28"/>
              </w:rPr>
              <w:t>Vercel</w:t>
            </w:r>
            <w:proofErr w:type="spellEnd"/>
            <w:r w:rsidRPr="004C774F">
              <w:rPr>
                <w:bCs/>
                <w:iCs/>
                <w:color w:val="000000" w:themeColor="text1"/>
                <w:szCs w:val="28"/>
              </w:rPr>
              <w:t xml:space="preserve">, que muestra el funcionamiento del mantenedor de productos con persistencia de imágenes en </w:t>
            </w:r>
            <w:proofErr w:type="spellStart"/>
            <w:r w:rsidRPr="004C774F">
              <w:rPr>
                <w:bCs/>
                <w:iCs/>
                <w:color w:val="000000" w:themeColor="text1"/>
                <w:szCs w:val="28"/>
              </w:rPr>
              <w:t>Supabase</w:t>
            </w:r>
            <w:proofErr w:type="spellEnd"/>
            <w:r w:rsidRPr="004C774F">
              <w:rPr>
                <w:bCs/>
                <w:iCs/>
                <w:color w:val="000000" w:themeColor="text1"/>
                <w:szCs w:val="28"/>
              </w:rPr>
              <w:t xml:space="preserve"> Storage y el tablero Kanban recibiendo eventos de pedidos en vivo en menos de 2.5 segundos mediante </w:t>
            </w:r>
            <w:proofErr w:type="spellStart"/>
            <w:r w:rsidRPr="004C774F">
              <w:rPr>
                <w:bCs/>
                <w:iCs/>
                <w:color w:val="000000" w:themeColor="text1"/>
                <w:szCs w:val="28"/>
              </w:rPr>
              <w:t>WebSockets</w:t>
            </w:r>
            <w:proofErr w:type="spellEnd"/>
            <w:r w:rsidRPr="004C774F">
              <w:rPr>
                <w:bCs/>
                <w:iCs/>
                <w:color w:val="000000" w:themeColor="text1"/>
                <w:szCs w:val="28"/>
              </w:rPr>
              <w:t xml:space="preserve">. Finalmente, se registran los logs de ejecución en las </w:t>
            </w:r>
            <w:proofErr w:type="spellStart"/>
            <w:r w:rsidRPr="004C774F">
              <w:rPr>
                <w:bCs/>
                <w:iCs/>
                <w:color w:val="000000" w:themeColor="text1"/>
                <w:szCs w:val="28"/>
              </w:rPr>
              <w:t>Supabase</w:t>
            </w:r>
            <w:proofErr w:type="spellEnd"/>
            <w:r w:rsidRPr="004C774F">
              <w:rPr>
                <w:bCs/>
                <w:iCs/>
                <w:color w:val="000000" w:themeColor="text1"/>
                <w:szCs w:val="28"/>
              </w:rPr>
              <w:t xml:space="preserve"> Edge </w:t>
            </w:r>
            <w:proofErr w:type="spellStart"/>
            <w:r w:rsidRPr="004C774F">
              <w:rPr>
                <w:bCs/>
                <w:iCs/>
                <w:color w:val="000000" w:themeColor="text1"/>
                <w:szCs w:val="28"/>
              </w:rPr>
              <w:t>Functions</w:t>
            </w:r>
            <w:proofErr w:type="spellEnd"/>
            <w:r w:rsidRPr="004C774F">
              <w:rPr>
                <w:bCs/>
                <w:iCs/>
                <w:color w:val="000000" w:themeColor="text1"/>
                <w:szCs w:val="28"/>
              </w:rPr>
              <w:t xml:space="preserve"> que confirman la recepción asíncrona de los </w:t>
            </w:r>
            <w:proofErr w:type="spellStart"/>
            <w:r w:rsidRPr="004C774F">
              <w:rPr>
                <w:bCs/>
                <w:iCs/>
                <w:color w:val="000000" w:themeColor="text1"/>
                <w:szCs w:val="28"/>
              </w:rPr>
              <w:t>Webhooks</w:t>
            </w:r>
            <w:proofErr w:type="spellEnd"/>
            <w:r w:rsidRPr="004C774F">
              <w:rPr>
                <w:bCs/>
                <w:iCs/>
                <w:color w:val="000000" w:themeColor="text1"/>
                <w:szCs w:val="28"/>
              </w:rPr>
              <w:t xml:space="preserve"> de </w:t>
            </w:r>
            <w:proofErr w:type="spellStart"/>
            <w:r w:rsidRPr="004C774F">
              <w:rPr>
                <w:bCs/>
                <w:iCs/>
                <w:color w:val="000000" w:themeColor="text1"/>
                <w:szCs w:val="28"/>
              </w:rPr>
              <w:t>MercadoPago</w:t>
            </w:r>
            <w:proofErr w:type="spellEnd"/>
            <w:r w:rsidRPr="004C774F">
              <w:rPr>
                <w:bCs/>
                <w:iCs/>
                <w:color w:val="000000" w:themeColor="text1"/>
                <w:szCs w:val="28"/>
              </w:rPr>
              <w:t xml:space="preserve"> Sandbox, verificando la transición atómica de la orden al estado pagado y el decremento seguro de existencias bajo bloqueos transaccionales</w:t>
            </w:r>
          </w:p>
          <w:p w14:paraId="6743CCDD" w14:textId="537FB4EB" w:rsidR="001202BF" w:rsidRPr="004C774F" w:rsidRDefault="001202BF" w:rsidP="00585A13">
            <w:pPr>
              <w:ind w:left="743"/>
              <w:rPr>
                <w:bCs/>
                <w:iCs/>
                <w:color w:val="000000" w:themeColor="text1"/>
                <w:szCs w:val="2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50841BE3" w:rsidR="004C774F" w:rsidRPr="004C774F" w:rsidRDefault="004C774F" w:rsidP="004C774F">
            <w:pPr>
              <w:pStyle w:val="Prrafodelista"/>
              <w:spacing w:after="0" w:line="240" w:lineRule="auto"/>
              <w:ind w:left="314"/>
              <w:jc w:val="both"/>
              <w:rPr>
                <w:rFonts w:ascii="Calibri" w:hAnsi="Calibri" w:cs="Arial"/>
                <w:iCs/>
                <w:color w:val="000000" w:themeColor="text1"/>
                <w:szCs w:val="24"/>
                <w:lang w:eastAsia="es-CL"/>
              </w:rPr>
            </w:pPr>
            <w:r w:rsidRPr="004C774F">
              <w:rPr>
                <w:rFonts w:ascii="Calibri" w:hAnsi="Calibri" w:cs="Arial"/>
                <w:iCs/>
                <w:color w:val="000000" w:themeColor="text1"/>
                <w:szCs w:val="24"/>
                <w:lang w:eastAsia="es-CL"/>
              </w:rPr>
              <w:t xml:space="preserve">El desarrollo de </w:t>
            </w:r>
            <w:proofErr w:type="spellStart"/>
            <w:r w:rsidRPr="004C774F">
              <w:rPr>
                <w:rFonts w:ascii="Calibri" w:hAnsi="Calibri" w:cs="Arial"/>
                <w:iCs/>
                <w:color w:val="000000" w:themeColor="text1"/>
                <w:szCs w:val="24"/>
                <w:lang w:eastAsia="es-CL"/>
              </w:rPr>
              <w:t>Skip</w:t>
            </w:r>
            <w:proofErr w:type="spellEnd"/>
            <w:r w:rsidRPr="004C774F">
              <w:rPr>
                <w:rFonts w:ascii="Calibri" w:hAnsi="Calibri" w:cs="Arial"/>
                <w:iCs/>
                <w:color w:val="000000" w:themeColor="text1"/>
                <w:szCs w:val="24"/>
                <w:lang w:eastAsia="es-CL"/>
              </w:rPr>
              <w:t xml:space="preserve"> Duoc UC representó un hito formativo que permitió al equipo contrastar la teoría académica con los estándares de ingeniería de software exigidos en el sector productivo. El proyecto permitió comprender que la arquitectura de sistemas debe sustentarse en la seguridad por diseño (Security </w:t>
            </w:r>
            <w:proofErr w:type="spellStart"/>
            <w:r w:rsidRPr="004C774F">
              <w:rPr>
                <w:rFonts w:ascii="Calibri" w:hAnsi="Calibri" w:cs="Arial"/>
                <w:iCs/>
                <w:color w:val="000000" w:themeColor="text1"/>
                <w:szCs w:val="24"/>
                <w:lang w:eastAsia="es-CL"/>
              </w:rPr>
              <w:t>by</w:t>
            </w:r>
            <w:proofErr w:type="spellEnd"/>
            <w:r w:rsidRPr="004C774F">
              <w:rPr>
                <w:rFonts w:ascii="Calibri" w:hAnsi="Calibri" w:cs="Arial"/>
                <w:iCs/>
                <w:color w:val="000000" w:themeColor="text1"/>
                <w:szCs w:val="24"/>
                <w:lang w:eastAsia="es-CL"/>
              </w:rPr>
              <w:t xml:space="preserve"> </w:t>
            </w:r>
            <w:proofErr w:type="spellStart"/>
            <w:r w:rsidRPr="004C774F">
              <w:rPr>
                <w:rFonts w:ascii="Calibri" w:hAnsi="Calibri" w:cs="Arial"/>
                <w:iCs/>
                <w:color w:val="000000" w:themeColor="text1"/>
                <w:szCs w:val="24"/>
                <w:lang w:eastAsia="es-CL"/>
              </w:rPr>
              <w:t>Design</w:t>
            </w:r>
            <w:proofErr w:type="spellEnd"/>
            <w:r w:rsidRPr="004C774F">
              <w:rPr>
                <w:rFonts w:ascii="Calibri" w:hAnsi="Calibri" w:cs="Arial"/>
                <w:iCs/>
                <w:color w:val="000000" w:themeColor="text1"/>
                <w:szCs w:val="24"/>
                <w:lang w:eastAsia="es-CL"/>
              </w:rPr>
              <w:t xml:space="preserve">), evidenciando que las reglas de autorización y coherencia transaccional no deben delegarse al </w:t>
            </w:r>
            <w:proofErr w:type="spellStart"/>
            <w:r w:rsidRPr="004C774F">
              <w:rPr>
                <w:rFonts w:ascii="Calibri" w:hAnsi="Calibri" w:cs="Arial"/>
                <w:iCs/>
                <w:color w:val="000000" w:themeColor="text1"/>
                <w:szCs w:val="24"/>
                <w:lang w:eastAsia="es-CL"/>
              </w:rPr>
              <w:t>frontend</w:t>
            </w:r>
            <w:proofErr w:type="spellEnd"/>
            <w:r w:rsidRPr="004C774F">
              <w:rPr>
                <w:rFonts w:ascii="Calibri" w:hAnsi="Calibri" w:cs="Arial"/>
                <w:iCs/>
                <w:color w:val="000000" w:themeColor="text1"/>
                <w:szCs w:val="24"/>
                <w:lang w:eastAsia="es-CL"/>
              </w:rPr>
              <w:t xml:space="preserve">, sino que deben estar blindadas directamente en el motor de base de datos a través de PostgreSQL y políticas RLS. Respecto a los intereses vocacionales iniciales, estos se </w:t>
            </w:r>
            <w:proofErr w:type="gramStart"/>
            <w:r w:rsidRPr="004C774F">
              <w:rPr>
                <w:rFonts w:ascii="Calibri" w:hAnsi="Calibri" w:cs="Arial"/>
                <w:iCs/>
                <w:color w:val="000000" w:themeColor="text1"/>
                <w:szCs w:val="24"/>
                <w:lang w:eastAsia="es-CL"/>
              </w:rPr>
              <w:t>mantuvieron</w:t>
            </w:r>
            <w:proofErr w:type="gramEnd"/>
            <w:r w:rsidRPr="004C774F">
              <w:rPr>
                <w:rFonts w:ascii="Calibri" w:hAnsi="Calibri" w:cs="Arial"/>
                <w:iCs/>
                <w:color w:val="000000" w:themeColor="text1"/>
                <w:szCs w:val="24"/>
                <w:lang w:eastAsia="es-CL"/>
              </w:rPr>
              <w:t xml:space="preserve"> pero evolucionaron de un enfoque genérico de programación hacia una marcada especialización en el diseño de arquitecturas desacopladas </w:t>
            </w:r>
            <w:proofErr w:type="spellStart"/>
            <w:r w:rsidRPr="004C774F">
              <w:rPr>
                <w:rFonts w:ascii="Calibri" w:hAnsi="Calibri" w:cs="Arial"/>
                <w:iCs/>
                <w:color w:val="000000" w:themeColor="text1"/>
                <w:szCs w:val="24"/>
                <w:lang w:eastAsia="es-CL"/>
              </w:rPr>
              <w:t>Serverless</w:t>
            </w:r>
            <w:proofErr w:type="spellEnd"/>
            <w:r w:rsidRPr="004C774F">
              <w:rPr>
                <w:rFonts w:ascii="Calibri" w:hAnsi="Calibri" w:cs="Arial"/>
                <w:iCs/>
                <w:color w:val="000000" w:themeColor="text1"/>
                <w:szCs w:val="24"/>
                <w:lang w:eastAsia="es-CL"/>
              </w:rPr>
              <w:t>, desarrollo de aplicaciones móviles multiplataforma y modelamiento de datos relacionales en la nube.   De cara al futuro profesional, el equipo proyecta profundizar en arquitecturas dirigidas por eventos (</w:t>
            </w:r>
            <w:proofErr w:type="spellStart"/>
            <w:r w:rsidRPr="004C774F">
              <w:rPr>
                <w:rFonts w:ascii="Calibri" w:hAnsi="Calibri" w:cs="Arial"/>
                <w:iCs/>
                <w:color w:val="000000" w:themeColor="text1"/>
                <w:szCs w:val="24"/>
                <w:lang w:eastAsia="es-CL"/>
              </w:rPr>
              <w:t>Event-Driven</w:t>
            </w:r>
            <w:proofErr w:type="spellEnd"/>
            <w:r w:rsidRPr="004C774F">
              <w:rPr>
                <w:rFonts w:ascii="Calibri" w:hAnsi="Calibri" w:cs="Arial"/>
                <w:iCs/>
                <w:color w:val="000000" w:themeColor="text1"/>
                <w:szCs w:val="24"/>
                <w:lang w:eastAsia="es-CL"/>
              </w:rPr>
              <w:t xml:space="preserve"> </w:t>
            </w:r>
            <w:proofErr w:type="spellStart"/>
            <w:r w:rsidRPr="004C774F">
              <w:rPr>
                <w:rFonts w:ascii="Calibri" w:hAnsi="Calibri" w:cs="Arial"/>
                <w:iCs/>
                <w:color w:val="000000" w:themeColor="text1"/>
                <w:szCs w:val="24"/>
                <w:lang w:eastAsia="es-CL"/>
              </w:rPr>
              <w:t>Architecture</w:t>
            </w:r>
            <w:proofErr w:type="spellEnd"/>
            <w:r w:rsidRPr="004C774F">
              <w:rPr>
                <w:rFonts w:ascii="Calibri" w:hAnsi="Calibri" w:cs="Arial"/>
                <w:iCs/>
                <w:color w:val="000000" w:themeColor="text1"/>
                <w:szCs w:val="24"/>
                <w:lang w:eastAsia="es-CL"/>
              </w:rPr>
              <w:t xml:space="preserve">), microservicios, ingeniería de rendimiento transaccional y la incorporación de modelos analíticos y de Inteligencia Artificial generativa, como copilotos neuronales para la optimización automática de inventarios gastronómicos. En el plano de la inserción laboral, la culminación exitosa de esta solución posiciona a los integrantes para desempeñarse con solidez como Desarrolladores Full </w:t>
            </w:r>
            <w:proofErr w:type="spellStart"/>
            <w:r w:rsidRPr="004C774F">
              <w:rPr>
                <w:rFonts w:ascii="Calibri" w:hAnsi="Calibri" w:cs="Arial"/>
                <w:iCs/>
                <w:color w:val="000000" w:themeColor="text1"/>
                <w:szCs w:val="24"/>
                <w:lang w:eastAsia="es-CL"/>
              </w:rPr>
              <w:t>Stack</w:t>
            </w:r>
            <w:proofErr w:type="spellEnd"/>
            <w:r w:rsidRPr="004C774F">
              <w:rPr>
                <w:rFonts w:ascii="Calibri" w:hAnsi="Calibri" w:cs="Arial"/>
                <w:iCs/>
                <w:color w:val="000000" w:themeColor="text1"/>
                <w:szCs w:val="24"/>
                <w:lang w:eastAsia="es-CL"/>
              </w:rPr>
              <w:t xml:space="preserve"> especializados en </w:t>
            </w:r>
            <w:proofErr w:type="spellStart"/>
            <w:r w:rsidRPr="004C774F">
              <w:rPr>
                <w:rFonts w:ascii="Calibri" w:hAnsi="Calibri" w:cs="Arial"/>
                <w:iCs/>
                <w:color w:val="000000" w:themeColor="text1"/>
                <w:szCs w:val="24"/>
                <w:lang w:eastAsia="es-CL"/>
              </w:rPr>
              <w:t>React</w:t>
            </w:r>
            <w:proofErr w:type="spellEnd"/>
            <w:r w:rsidRPr="004C774F">
              <w:rPr>
                <w:rFonts w:ascii="Calibri" w:hAnsi="Calibri" w:cs="Arial"/>
                <w:iCs/>
                <w:color w:val="000000" w:themeColor="text1"/>
                <w:szCs w:val="24"/>
                <w:lang w:eastAsia="es-CL"/>
              </w:rPr>
              <w:t xml:space="preserve">, Next.js y ecosistemas Cloud, Desarrolladores Móviles en </w:t>
            </w:r>
            <w:proofErr w:type="spellStart"/>
            <w:r w:rsidRPr="004C774F">
              <w:rPr>
                <w:rFonts w:ascii="Calibri" w:hAnsi="Calibri" w:cs="Arial"/>
                <w:iCs/>
                <w:color w:val="000000" w:themeColor="text1"/>
                <w:szCs w:val="24"/>
                <w:lang w:eastAsia="es-CL"/>
              </w:rPr>
              <w:t>React</w:t>
            </w:r>
            <w:proofErr w:type="spellEnd"/>
            <w:r w:rsidRPr="004C774F">
              <w:rPr>
                <w:rFonts w:ascii="Calibri" w:hAnsi="Calibri" w:cs="Arial"/>
                <w:iCs/>
                <w:color w:val="000000" w:themeColor="text1"/>
                <w:szCs w:val="24"/>
                <w:lang w:eastAsia="es-CL"/>
              </w:rPr>
              <w:t xml:space="preserve"> Native/Expo, e Ingenieros de Datos y </w:t>
            </w:r>
            <w:proofErr w:type="spellStart"/>
            <w:r w:rsidRPr="004C774F">
              <w:rPr>
                <w:rFonts w:ascii="Calibri" w:hAnsi="Calibri" w:cs="Arial"/>
                <w:iCs/>
                <w:color w:val="000000" w:themeColor="text1"/>
                <w:szCs w:val="24"/>
                <w:lang w:eastAsia="es-CL"/>
              </w:rPr>
              <w:t>Backend</w:t>
            </w:r>
            <w:proofErr w:type="spellEnd"/>
            <w:r w:rsidRPr="004C774F">
              <w:rPr>
                <w:rFonts w:ascii="Calibri" w:hAnsi="Calibri" w:cs="Arial"/>
                <w:iCs/>
                <w:color w:val="000000" w:themeColor="text1"/>
                <w:szCs w:val="24"/>
                <w:lang w:eastAsia="es-CL"/>
              </w:rPr>
              <w:t xml:space="preserve"> con dominio de servicios gestionados </w:t>
            </w:r>
            <w:proofErr w:type="spellStart"/>
            <w:r w:rsidRPr="004C774F">
              <w:rPr>
                <w:rFonts w:ascii="Calibri" w:hAnsi="Calibri" w:cs="Arial"/>
                <w:iCs/>
                <w:color w:val="000000" w:themeColor="text1"/>
                <w:szCs w:val="24"/>
                <w:lang w:eastAsia="es-CL"/>
              </w:rPr>
              <w:t>BaaS</w:t>
            </w:r>
            <w:proofErr w:type="spellEnd"/>
            <w:r w:rsidRPr="004C774F">
              <w:rPr>
                <w:rFonts w:ascii="Calibri" w:hAnsi="Calibri" w:cs="Arial"/>
                <w:iCs/>
                <w:color w:val="000000" w:themeColor="text1"/>
                <w:szCs w:val="24"/>
                <w:lang w:eastAsia="es-CL"/>
              </w:rPr>
              <w:t xml:space="preserve"> y prácticas </w:t>
            </w:r>
            <w:proofErr w:type="spellStart"/>
            <w:r w:rsidRPr="004C774F">
              <w:rPr>
                <w:rFonts w:ascii="Calibri" w:hAnsi="Calibri" w:cs="Arial"/>
                <w:iCs/>
                <w:color w:val="000000" w:themeColor="text1"/>
                <w:szCs w:val="24"/>
                <w:lang w:eastAsia="es-CL"/>
              </w:rPr>
              <w:t>DevSecOps</w:t>
            </w:r>
            <w:proofErr w:type="spellEnd"/>
            <w:r w:rsidRPr="004C774F">
              <w:rPr>
                <w:rFonts w:ascii="Calibri" w:hAnsi="Calibri" w:cs="Arial"/>
                <w:iCs/>
                <w:color w:val="000000" w:themeColor="text1"/>
                <w:szCs w:val="24"/>
                <w:lang w:eastAsia="es-CL"/>
              </w:rPr>
              <w:t>, contando con el respaldo de un portafolio de título que acredita la construcción de un producto tecnológico real, escalable y transaccionalmente seguro.</w:t>
            </w:r>
          </w:p>
          <w:p w14:paraId="29E8CF0E" w14:textId="5996C90F"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ACF87" w14:textId="77777777" w:rsidR="003B4B90" w:rsidRDefault="003B4B90" w:rsidP="00EE1135">
      <w:pPr>
        <w:spacing w:after="0" w:line="240" w:lineRule="auto"/>
      </w:pPr>
      <w:r>
        <w:separator/>
      </w:r>
    </w:p>
  </w:endnote>
  <w:endnote w:type="continuationSeparator" w:id="0">
    <w:p w14:paraId="2F7DFCAE" w14:textId="77777777" w:rsidR="003B4B90" w:rsidRDefault="003B4B90"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197D6" w14:textId="77777777" w:rsidR="003B4B90" w:rsidRDefault="003B4B90" w:rsidP="00EE1135">
      <w:pPr>
        <w:spacing w:after="0" w:line="240" w:lineRule="auto"/>
      </w:pPr>
      <w:r>
        <w:separator/>
      </w:r>
    </w:p>
  </w:footnote>
  <w:footnote w:type="continuationSeparator" w:id="0">
    <w:p w14:paraId="55D5B56D" w14:textId="77777777" w:rsidR="003B4B90" w:rsidRDefault="003B4B90"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4B90"/>
    <w:rsid w:val="003B7101"/>
    <w:rsid w:val="003E474B"/>
    <w:rsid w:val="0041433E"/>
    <w:rsid w:val="00434472"/>
    <w:rsid w:val="00434DA2"/>
    <w:rsid w:val="00463DB6"/>
    <w:rsid w:val="004B72CB"/>
    <w:rsid w:val="004C774F"/>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CdigoHTML">
    <w:name w:val="HTML Code"/>
    <w:basedOn w:val="Fuentedeprrafopredeter"/>
    <w:uiPriority w:val="99"/>
    <w:semiHidden/>
    <w:unhideWhenUsed/>
    <w:rsid w:val="004C77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595212465">
      <w:bodyDiv w:val="1"/>
      <w:marLeft w:val="0"/>
      <w:marRight w:val="0"/>
      <w:marTop w:val="0"/>
      <w:marBottom w:val="0"/>
      <w:divBdr>
        <w:top w:val="none" w:sz="0" w:space="0" w:color="auto"/>
        <w:left w:val="none" w:sz="0" w:space="0" w:color="auto"/>
        <w:bottom w:val="none" w:sz="0" w:space="0" w:color="auto"/>
        <w:right w:val="none" w:sz="0" w:space="0" w:color="auto"/>
      </w:divBdr>
    </w:div>
    <w:div w:id="672953390">
      <w:bodyDiv w:val="1"/>
      <w:marLeft w:val="0"/>
      <w:marRight w:val="0"/>
      <w:marTop w:val="0"/>
      <w:marBottom w:val="0"/>
      <w:divBdr>
        <w:top w:val="none" w:sz="0" w:space="0" w:color="auto"/>
        <w:left w:val="none" w:sz="0" w:space="0" w:color="auto"/>
        <w:bottom w:val="none" w:sz="0" w:space="0" w:color="auto"/>
        <w:right w:val="none" w:sz="0" w:space="0" w:color="auto"/>
      </w:divBdr>
    </w:div>
    <w:div w:id="928274310">
      <w:bodyDiv w:val="1"/>
      <w:marLeft w:val="0"/>
      <w:marRight w:val="0"/>
      <w:marTop w:val="0"/>
      <w:marBottom w:val="0"/>
      <w:divBdr>
        <w:top w:val="none" w:sz="0" w:space="0" w:color="auto"/>
        <w:left w:val="none" w:sz="0" w:space="0" w:color="auto"/>
        <w:bottom w:val="none" w:sz="0" w:space="0" w:color="auto"/>
        <w:right w:val="none" w:sz="0" w:space="0" w:color="auto"/>
      </w:divBdr>
    </w:div>
    <w:div w:id="1053966571">
      <w:bodyDiv w:val="1"/>
      <w:marLeft w:val="0"/>
      <w:marRight w:val="0"/>
      <w:marTop w:val="0"/>
      <w:marBottom w:val="0"/>
      <w:divBdr>
        <w:top w:val="none" w:sz="0" w:space="0" w:color="auto"/>
        <w:left w:val="none" w:sz="0" w:space="0" w:color="auto"/>
        <w:bottom w:val="none" w:sz="0" w:space="0" w:color="auto"/>
        <w:right w:val="none" w:sz="0" w:space="0" w:color="auto"/>
      </w:divBdr>
    </w:div>
    <w:div w:id="1305084115">
      <w:bodyDiv w:val="1"/>
      <w:marLeft w:val="0"/>
      <w:marRight w:val="0"/>
      <w:marTop w:val="0"/>
      <w:marBottom w:val="0"/>
      <w:divBdr>
        <w:top w:val="none" w:sz="0" w:space="0" w:color="auto"/>
        <w:left w:val="none" w:sz="0" w:space="0" w:color="auto"/>
        <w:bottom w:val="none" w:sz="0" w:space="0" w:color="auto"/>
        <w:right w:val="none" w:sz="0" w:space="0" w:color="auto"/>
      </w:divBdr>
    </w:div>
    <w:div w:id="1462000137">
      <w:bodyDiv w:val="1"/>
      <w:marLeft w:val="0"/>
      <w:marRight w:val="0"/>
      <w:marTop w:val="0"/>
      <w:marBottom w:val="0"/>
      <w:divBdr>
        <w:top w:val="none" w:sz="0" w:space="0" w:color="auto"/>
        <w:left w:val="none" w:sz="0" w:space="0" w:color="auto"/>
        <w:bottom w:val="none" w:sz="0" w:space="0" w:color="auto"/>
        <w:right w:val="none" w:sz="0" w:space="0" w:color="auto"/>
      </w:divBdr>
    </w:div>
    <w:div w:id="1601647808">
      <w:bodyDiv w:val="1"/>
      <w:marLeft w:val="0"/>
      <w:marRight w:val="0"/>
      <w:marTop w:val="0"/>
      <w:marBottom w:val="0"/>
      <w:divBdr>
        <w:top w:val="none" w:sz="0" w:space="0" w:color="auto"/>
        <w:left w:val="none" w:sz="0" w:space="0" w:color="auto"/>
        <w:bottom w:val="none" w:sz="0" w:space="0" w:color="auto"/>
        <w:right w:val="none" w:sz="0" w:space="0" w:color="auto"/>
      </w:divBdr>
    </w:div>
    <w:div w:id="1818649503">
      <w:bodyDiv w:val="1"/>
      <w:marLeft w:val="0"/>
      <w:marRight w:val="0"/>
      <w:marTop w:val="0"/>
      <w:marBottom w:val="0"/>
      <w:divBdr>
        <w:top w:val="none" w:sz="0" w:space="0" w:color="auto"/>
        <w:left w:val="none" w:sz="0" w:space="0" w:color="auto"/>
        <w:bottom w:val="none" w:sz="0" w:space="0" w:color="auto"/>
        <w:right w:val="none" w:sz="0" w:space="0" w:color="auto"/>
      </w:divBdr>
    </w:div>
    <w:div w:id="202639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2158</Words>
  <Characters>11869</Characters>
  <Application>Microsoft Office Word</Application>
  <DocSecurity>0</DocSecurity>
  <Lines>98</Lines>
  <Paragraphs>27</Paragraphs>
  <ScaleCrop>false</ScaleCrop>
  <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Martín Aburto</cp:lastModifiedBy>
  <cp:revision>10</cp:revision>
  <dcterms:created xsi:type="dcterms:W3CDTF">2022-08-24T18:22:00Z</dcterms:created>
  <dcterms:modified xsi:type="dcterms:W3CDTF">2026-10-22T01:47:00Z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