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0B2A6B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DUOC UC  •  SEDE SAN JOAQUÍN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Registro de Defectos por Ciclos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D0E1F9"/>
                <w:sz w:val="20"/>
                <w:szCs w:val="20"/>
              </w:rPr>
              <w:t xml:space="preserve">Seguimiento y Cierre de Defectos Técnicos  •  SKIP Duoc UC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B2A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B2A6B"/>
          <w:sz w:val="30"/>
          <w:szCs w:val="30"/>
        </w:rPr>
        <w:t xml:space="preserve">Registro de Defectos por Ciclos (Defect Log)</w:t>
      </w:r>
    </w:p>
    <w:p>
      <w:pPr>
        <w:spacing w:after="14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Durante los 4 ciclos de desarrollo y aseguramiento de calidad del proyecto SKIP Duoc UC, se identificaron y resolvieron 11 defectos técnicos. Cada uno fue documentado con su causa raíz, severidad y la acción de remediación aplicada.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/>
              <w:left w:val="single" w:color="0B2A6B" w:sz="24"/>
              <w:bottom w:val="none"/>
              <w:right w:val="none"/>
            </w:tcBorders>
            <w:shd w:fill="EAF2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A6B"/>
                <w:sz w:val="21"/>
                <w:szCs w:val="21"/>
              </w:rPr>
              <w:t xml:space="preserve">Estado Final del Control de Defectos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Total Defectos Reportados: 11  |  Defectos Bloqueantes / Altos: 9  |  Defectos Resueltos: 11 (100%)  |  Pendientes: 0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B2A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B2A6B"/>
          <w:sz w:val="30"/>
          <w:szCs w:val="30"/>
        </w:rPr>
        <w:t xml:space="preserve">Tabla Histórica de Defectos y Acciones Correctivas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"/>
        <w:gridCol w:w="1200"/>
        <w:gridCol w:w="2600"/>
        <w:gridCol w:w="1100"/>
        <w:gridCol w:w="1500"/>
        <w:gridCol w:w="1500"/>
        <w:gridCol w:w="800"/>
      </w:tblGrid>
      <w:tr>
        <w:trPr>
          <w:tblHeader/>
        </w:trPr>
        <w:tc>
          <w:tcPr>
            <w:tcW w:type="dxa" w:w="10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Ciclo</w:t>
            </w:r>
          </w:p>
        </w:tc>
        <w:tc>
          <w:tcPr>
            <w:tcW w:type="dxa" w:w="12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6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 del Defecto</w:t>
            </w:r>
          </w:p>
        </w:tc>
        <w:tc>
          <w:tcPr>
            <w:tcW w:type="dxa" w:w="11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Criticidad</w:t>
            </w:r>
          </w:p>
        </w:tc>
        <w:tc>
          <w:tcPr>
            <w:tcW w:type="dxa" w:w="15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Causa Raíz</w:t>
            </w:r>
          </w:p>
        </w:tc>
        <w:tc>
          <w:tcPr>
            <w:tcW w:type="dxa" w:w="15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 Correctiva</w:t>
            </w:r>
          </w:p>
        </w:tc>
        <w:tc>
          <w:tcPr>
            <w:tcW w:type="dxa" w:w="8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DEF-001</w:t>
            </w:r>
          </w:p>
        </w:tc>
        <w:tc>
          <w:tcPr>
            <w:tcW w:type="dxa" w:w="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C1</w:t>
            </w:r>
          </w:p>
        </w:tc>
        <w:tc>
          <w:tcPr>
            <w:tcW w:type="dxa" w:w="12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Dashboard</w:t>
            </w:r>
          </w:p>
        </w:tc>
        <w:tc>
          <w:tcPr>
            <w:tcW w:type="dxa" w:w="2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Bloqueo RLS: Locatario no leía ítems de comandas</w:t>
            </w:r>
          </w:p>
        </w:tc>
        <w:tc>
          <w:tcPr>
            <w:tcW w:type="dxa" w:w="1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Bloqueante</w:t>
            </w:r>
          </w:p>
        </w:tc>
        <w:tc>
          <w:tcPr>
            <w:tcW w:type="dxa" w:w="15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Política en pedido_items</w:t>
            </w:r>
          </w:p>
        </w:tc>
        <w:tc>
          <w:tcPr>
            <w:tcW w:type="dxa" w:w="15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Script fix_rls_admin_items.sql</w:t>
            </w:r>
          </w:p>
        </w:tc>
        <w:tc>
          <w:tcPr>
            <w:tcW w:type="dxa" w:w="8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10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DEF-002</w:t>
            </w:r>
          </w:p>
        </w:tc>
        <w:tc>
          <w:tcPr>
            <w:tcW w:type="dxa" w:w="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C1</w:t>
            </w:r>
          </w:p>
        </w:tc>
        <w:tc>
          <w:tcPr>
            <w:tcW w:type="dxa" w:w="12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Móvil</w:t>
            </w:r>
          </w:p>
        </w:tc>
        <w:tc>
          <w:tcPr>
            <w:tcW w:type="dxa" w:w="2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Falta de columna 'notas' en base de datos al pagar</w:t>
            </w:r>
          </w:p>
        </w:tc>
        <w:tc>
          <w:tcPr>
            <w:tcW w:type="dxa" w:w="1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Esquema desfasado</w:t>
            </w:r>
          </w:p>
        </w:tc>
        <w:tc>
          <w:tcPr>
            <w:tcW w:type="dxa" w:w="15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Script agregar_columna_notas.sql</w:t>
            </w:r>
          </w:p>
        </w:tc>
        <w:tc>
          <w:tcPr>
            <w:tcW w:type="dxa" w:w="8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10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DEF-003</w:t>
            </w:r>
          </w:p>
        </w:tc>
        <w:tc>
          <w:tcPr>
            <w:tcW w:type="dxa" w:w="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C1</w:t>
            </w:r>
          </w:p>
        </w:tc>
        <w:tc>
          <w:tcPr>
            <w:tcW w:type="dxa" w:w="12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Catálogo</w:t>
            </w:r>
          </w:p>
        </w:tc>
        <w:tc>
          <w:tcPr>
            <w:tcW w:type="dxa" w:w="2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Error SQL: consulta a columna 'emoji' inexistente</w:t>
            </w:r>
          </w:p>
        </w:tc>
        <w:tc>
          <w:tcPr>
            <w:tcW w:type="dxa" w:w="1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Bloqueante</w:t>
            </w:r>
          </w:p>
        </w:tc>
        <w:tc>
          <w:tcPr>
            <w:tcW w:type="dxa" w:w="15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Query en index.tsx</w:t>
            </w:r>
          </w:p>
        </w:tc>
        <w:tc>
          <w:tcPr>
            <w:tcW w:type="dxa" w:w="15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Fallback local emoji || '🍔'</w:t>
            </w:r>
          </w:p>
        </w:tc>
        <w:tc>
          <w:tcPr>
            <w:tcW w:type="dxa" w:w="8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10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DEF-004</w:t>
            </w:r>
          </w:p>
        </w:tc>
        <w:tc>
          <w:tcPr>
            <w:tcW w:type="dxa" w:w="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C2</w:t>
            </w:r>
          </w:p>
        </w:tc>
        <w:tc>
          <w:tcPr>
            <w:tcW w:type="dxa" w:w="12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Favoritos</w:t>
            </w:r>
          </w:p>
        </w:tc>
        <w:tc>
          <w:tcPr>
            <w:tcW w:type="dxa" w:w="2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Datos de prueba (mocks) en lista inicial</w:t>
            </w:r>
          </w:p>
        </w:tc>
        <w:tc>
          <w:tcPr>
            <w:tcW w:type="dxa" w:w="1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Estado Zustand fijo</w:t>
            </w:r>
          </w:p>
        </w:tc>
        <w:tc>
          <w:tcPr>
            <w:tcW w:type="dxa" w:w="15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Purga de fav-demo, inicio limpio</w:t>
            </w:r>
          </w:p>
        </w:tc>
        <w:tc>
          <w:tcPr>
            <w:tcW w:type="dxa" w:w="8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10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DEF-005</w:t>
            </w:r>
          </w:p>
        </w:tc>
        <w:tc>
          <w:tcPr>
            <w:tcW w:type="dxa" w:w="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C2</w:t>
            </w:r>
          </w:p>
        </w:tc>
        <w:tc>
          <w:tcPr>
            <w:tcW w:type="dxa" w:w="12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Bypass de inicio de sesión de prueba en login</w:t>
            </w:r>
          </w:p>
        </w:tc>
        <w:tc>
          <w:tcPr>
            <w:tcW w:type="dxa" w:w="1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Función handleTestLogin</w:t>
            </w:r>
          </w:p>
        </w:tc>
        <w:tc>
          <w:tcPr>
            <w:tcW w:type="dxa" w:w="15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Eliminación total, 100% Supabase</w:t>
            </w:r>
          </w:p>
        </w:tc>
        <w:tc>
          <w:tcPr>
            <w:tcW w:type="dxa" w:w="8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10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DEF-006</w:t>
            </w:r>
          </w:p>
        </w:tc>
        <w:tc>
          <w:tcPr>
            <w:tcW w:type="dxa" w:w="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C3</w:t>
            </w:r>
          </w:p>
        </w:tc>
        <w:tc>
          <w:tcPr>
            <w:tcW w:type="dxa" w:w="12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Dark Mode</w:t>
            </w:r>
          </w:p>
        </w:tc>
        <w:tc>
          <w:tcPr>
            <w:tcW w:type="dxa" w:w="2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Texto invisible por contraste nulo en tarjetas</w:t>
            </w:r>
          </w:p>
        </w:tc>
        <w:tc>
          <w:tcPr>
            <w:tcW w:type="dxa" w:w="1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Fondo blanco / texto claro</w:t>
            </w:r>
          </w:p>
        </w:tc>
        <w:tc>
          <w:tcPr>
            <w:tcW w:type="dxa" w:w="15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Paleta Obsidian #09090B / #18181B</w:t>
            </w:r>
          </w:p>
        </w:tc>
        <w:tc>
          <w:tcPr>
            <w:tcW w:type="dxa" w:w="8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10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DEF-007</w:t>
            </w:r>
          </w:p>
        </w:tc>
        <w:tc>
          <w:tcPr>
            <w:tcW w:type="dxa" w:w="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C3</w:t>
            </w:r>
          </w:p>
        </w:tc>
        <w:tc>
          <w:tcPr>
            <w:tcW w:type="dxa" w:w="12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Dark Mode</w:t>
            </w:r>
          </w:p>
        </w:tc>
        <w:tc>
          <w:tcPr>
            <w:tcW w:type="dxa" w:w="2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Fondo blanco en barra sticky de pago en carrito</w:t>
            </w:r>
          </w:p>
        </w:tc>
        <w:tc>
          <w:tcPr>
            <w:tcW w:type="dxa" w:w="1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Estilo hardcodeado</w:t>
            </w:r>
          </w:p>
        </w:tc>
        <w:tc>
          <w:tcPr>
            <w:tcW w:type="dxa" w:w="15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Contenedor con variable bg dinámica</w:t>
            </w:r>
          </w:p>
        </w:tc>
        <w:tc>
          <w:tcPr>
            <w:tcW w:type="dxa" w:w="8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10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DEF-008</w:t>
            </w:r>
          </w:p>
        </w:tc>
        <w:tc>
          <w:tcPr>
            <w:tcW w:type="dxa" w:w="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C3</w:t>
            </w:r>
          </w:p>
        </w:tc>
        <w:tc>
          <w:tcPr>
            <w:tcW w:type="dxa" w:w="12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Soporte</w:t>
            </w:r>
          </w:p>
        </w:tc>
        <w:tc>
          <w:tcPr>
            <w:tcW w:type="dxa" w:w="2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Error sintaxis TypeScript por JSX duplicado</w:t>
            </w:r>
          </w:p>
        </w:tc>
        <w:tc>
          <w:tcPr>
            <w:tcW w:type="dxa" w:w="1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Edición solapada</w:t>
            </w:r>
          </w:p>
        </w:tc>
        <w:tc>
          <w:tcPr>
            <w:tcW w:type="dxa" w:w="15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Refactorización y tsc --noEmit 0</w:t>
            </w:r>
          </w:p>
        </w:tc>
        <w:tc>
          <w:tcPr>
            <w:tcW w:type="dxa" w:w="8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10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DEF-009</w:t>
            </w:r>
          </w:p>
        </w:tc>
        <w:tc>
          <w:tcPr>
            <w:tcW w:type="dxa" w:w="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C4</w:t>
            </w:r>
          </w:p>
        </w:tc>
        <w:tc>
          <w:tcPr>
            <w:tcW w:type="dxa" w:w="12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Catálogo</w:t>
            </w:r>
          </w:p>
        </w:tc>
        <w:tc>
          <w:tcPr>
            <w:tcW w:type="dxa" w:w="2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Discordancia: empanadas mostraban papas fritas</w:t>
            </w:r>
          </w:p>
        </w:tc>
        <w:tc>
          <w:tcPr>
            <w:tcW w:type="dxa" w:w="1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URLs Unsplash erróneas</w:t>
            </w:r>
          </w:p>
        </w:tc>
        <w:tc>
          <w:tcPr>
            <w:tcW w:type="dxa" w:w="15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Módulo productImages.ts curado</w:t>
            </w:r>
          </w:p>
        </w:tc>
        <w:tc>
          <w:tcPr>
            <w:tcW w:type="dxa" w:w="8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10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DEF-010</w:t>
            </w:r>
          </w:p>
        </w:tc>
        <w:tc>
          <w:tcPr>
            <w:tcW w:type="dxa" w:w="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C4</w:t>
            </w:r>
          </w:p>
        </w:tc>
        <w:tc>
          <w:tcPr>
            <w:tcW w:type="dxa" w:w="12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Catálogo</w:t>
            </w:r>
          </w:p>
        </w:tc>
        <w:tc>
          <w:tcPr>
            <w:tcW w:type="dxa" w:w="2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Enlaces de imágenes caídos (HTTP 404)</w:t>
            </w:r>
          </w:p>
        </w:tc>
        <w:tc>
          <w:tcPr>
            <w:tcW w:type="dxa" w:w="1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URLs caducadas</w:t>
            </w:r>
          </w:p>
        </w:tc>
        <w:tc>
          <w:tcPr>
            <w:tcW w:type="dxa" w:w="15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Reemplazo por enlaces 200 OK</w:t>
            </w:r>
          </w:p>
        </w:tc>
        <w:tc>
          <w:tcPr>
            <w:tcW w:type="dxa" w:w="8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10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DEF-011</w:t>
            </w:r>
          </w:p>
        </w:tc>
        <w:tc>
          <w:tcPr>
            <w:tcW w:type="dxa" w:w="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C4</w:t>
            </w:r>
          </w:p>
        </w:tc>
        <w:tc>
          <w:tcPr>
            <w:tcW w:type="dxa" w:w="12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Perfil</w:t>
            </w:r>
          </w:p>
        </w:tc>
        <w:tc>
          <w:tcPr>
            <w:tcW w:type="dxa" w:w="2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Alertas de 'Próximamente' en métodos de pago</w:t>
            </w:r>
          </w:p>
        </w:tc>
        <w:tc>
          <w:tcPr>
            <w:tcW w:type="dxa" w:w="1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handlePressSimulate</w:t>
            </w:r>
          </w:p>
        </w:tc>
        <w:tc>
          <w:tcPr>
            <w:tcW w:type="dxa" w:w="15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Modales y add-payment.tsx real</w:t>
            </w:r>
          </w:p>
        </w:tc>
        <w:tc>
          <w:tcPr>
            <w:tcW w:type="dxa" w:w="8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Cerrado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B2A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B2A6B"/>
          <w:sz w:val="30"/>
          <w:szCs w:val="30"/>
        </w:rPr>
        <w:t xml:space="preserve">Conclusiones del Proceso de Depuración</w:t>
      </w:r>
    </w:p>
    <w:p>
      <w:pPr>
        <w:spacing w:after="14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 totalidad de los defectos de seguridad en base de datos (RLS), desincronización de notas en cocina, inconsistencias visuales en Modo Oscuro y discordancia fotográfica fueron subsanados. La versión actual en la rama main se encuentra completamente libre de fallas conocidas.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2E0" w:sz="4" w:space="4"/>
      </w:pBdr>
      <w:spacing w:before="120"/>
      <w:jc w:val="right"/>
    </w:pPr>
    <w:r>
      <w:rPr>
        <w:rFonts w:ascii="Calibri" w:cs="Calibri" w:eastAsia="Calibri" w:hAnsi="Calibri"/>
        <w:color w:val="5A6A80"/>
        <w:sz w:val="17"/>
        <w:szCs w:val="17"/>
      </w:rPr>
      <w:t xml:space="preserve">Página </w:t>
    </w:r>
    <w:r>
      <w:rPr>
        <w:rFonts w:ascii="Calibri" w:cs="Calibri" w:eastAsia="Calibri" w:hAnsi="Calibri"/>
        <w:b/>
        <w:bCs/>
        <w:color w:val="0B2A6B"/>
        <w:sz w:val="17"/>
        <w:szCs w:val="17"/>
      </w:rPr>
      <w:fldChar w:fldCharType="begin"/>
    </w:r>
    <w:r>
      <w:rPr>
        <w:rFonts w:ascii="Calibri" w:cs="Calibri" w:eastAsia="Calibri" w:hAnsi="Calibri"/>
        <w:b/>
        <w:bCs/>
        <w:color w:val="0B2A6B"/>
        <w:sz w:val="17"/>
        <w:szCs w:val="17"/>
      </w:rPr>
      <w:instrText xml:space="preserve">PAGE</w:instrText>
    </w:r>
    <w:r>
      <w:rPr>
        <w:rFonts w:ascii="Calibri" w:cs="Calibri" w:eastAsia="Calibri" w:hAnsi="Calibri"/>
        <w:b/>
        <w:bCs/>
        <w:color w:val="0B2A6B"/>
        <w:sz w:val="17"/>
        <w:szCs w:val="17"/>
      </w:rPr>
      <w:fldChar w:fldCharType="separate"/>
    </w:r>
    <w:r>
      <w:rPr>
        <w:rFonts w:ascii="Calibri" w:cs="Calibri" w:eastAsia="Calibri" w:hAnsi="Calibri"/>
        <w:b/>
        <w:bCs/>
        <w:color w:val="0B2A6B"/>
        <w:sz w:val="17"/>
        <w:szCs w:val="17"/>
      </w:rPr>
      <w:fldChar w:fldCharType="end"/>
    </w:r>
    <w:r>
      <w:rPr>
        <w:rFonts w:ascii="Calibri" w:cs="Calibri" w:eastAsia="Calibri" w:hAnsi="Calibri"/>
        <w:color w:val="5A6A80"/>
        <w:sz w:val="17"/>
        <w:szCs w:val="17"/>
      </w:rPr>
      <w:t xml:space="preserve"> de </w:t>
    </w:r>
    <w:r>
      <w:rPr>
        <w:rFonts w:ascii="Calibri" w:cs="Calibri" w:eastAsia="Calibri" w:hAnsi="Calibri"/>
        <w:color w:val="5A6A80"/>
        <w:sz w:val="17"/>
        <w:szCs w:val="17"/>
      </w:rPr>
      <w:fldChar w:fldCharType="begin"/>
    </w:r>
    <w:r>
      <w:rPr>
        <w:rFonts w:ascii="Calibri" w:cs="Calibri" w:eastAsia="Calibri" w:hAnsi="Calibri"/>
        <w:color w:val="5A6A80"/>
        <w:sz w:val="17"/>
        <w:szCs w:val="17"/>
      </w:rPr>
      <w:instrText xml:space="preserve">NUMPAGES</w:instrText>
    </w:r>
    <w:r>
      <w:rPr>
        <w:rFonts w:ascii="Calibri" w:cs="Calibri" w:eastAsia="Calibri" w:hAnsi="Calibri"/>
        <w:color w:val="5A6A80"/>
        <w:sz w:val="17"/>
        <w:szCs w:val="17"/>
      </w:rPr>
      <w:fldChar w:fldCharType="separate"/>
    </w:r>
    <w:r>
      <w:rPr>
        <w:rFonts w:ascii="Calibri" w:cs="Calibri" w:eastAsia="Calibri" w:hAnsi="Calibri"/>
        <w:color w:val="5A6A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2E0" w:sz="4" w:space="4"/>
      </w:pBdr>
      <w:spacing w:after="120"/>
      <w:jc w:val="right"/>
    </w:pPr>
    <w:r>
      <w:rPr>
        <w:rFonts w:ascii="Calibri" w:cs="Calibri" w:eastAsia="Calibri" w:hAnsi="Calibri"/>
        <w:color w:val="5A6A80"/>
        <w:sz w:val="17"/>
        <w:szCs w:val="17"/>
      </w:rPr>
      <w:t xml:space="preserve">SKIP Duoc UC (Sede San Joaquín)  |  </w:t>
    </w:r>
    <w:r>
      <w:rPr>
        <w:rFonts w:ascii="Calibri" w:cs="Calibri" w:eastAsia="Calibri" w:hAnsi="Calibri"/>
        <w:b/>
        <w:bCs/>
        <w:color w:val="0B2A6B"/>
        <w:sz w:val="17"/>
        <w:szCs w:val="17"/>
      </w:rPr>
      <w:t xml:space="preserve">Registro de Defectos por Ciclos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40"/>
      </w:pPr>
    </w:lvl>
    <w:lvl w:ilvl="1" w:tentative="1">
      <w:start w:val="1"/>
      <w:numFmt w:val="bullet"/>
      <w:lvlText w:val="–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2026-10-29T02:08:33.794Z</dcterms:created>
  <dcterms:modified xsi:type="dcterms:W3CDTF">2026-10-29T02:08:33.794Z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