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0B2A6B" w:color="auto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DUOC UC  •  SEDE SAN JOAQUÍN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Manual de Usuario Final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D0E1F9"/>
                <w:sz w:val="20"/>
                <w:szCs w:val="20"/>
              </w:rPr>
              <w:t xml:space="preserve">Guía Oficial de Operación con Capturas de Pantalla  •  SKIP Duoc UC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1. Introducción al Sistema SKIP Duoc UC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SKIP Duoc UC es el ecosistema omnicanal de pedidos anticipados (Click &amp; Collect) diseñado para la Sede San Joaquín. Este manual describe paso a paso cómo los estudiantes y los locatarios interactúan con las distintas interfaces del sistema.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2. Manual del Estudiante (Aplicación Móvil)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2.1. Inicio de Sesión y Registro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estudiante debe ingresar utilizando su correo institucional Duoc UC (@duocuc.cl). Al ingresar por primera vez, el sistema crea automáticamente su perfil en la base de datos centralizada.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2.2. Exploración del Catálogo y Locales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la pantalla principal se encuentran disponibles los concesionarios de la sede: Castaño, Achoclonado, Comedor Central, Cafetería Paradiso y Local -1. Los alumnos pueden alternar locales y categorías con un solo toque.</w:t>
      </w:r>
    </w:p>
    <w:p>
      <w:pPr>
        <w:spacing w:after="60" w:before="180"/>
        <w:jc w:val="center"/>
      </w:pPr>
      <w:r>
        <w:drawing>
          <wp:inline distT="0" distB="0" distL="0" distR="0">
            <wp:extent cx="2324100" cy="47625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A6A80"/>
          <w:sz w:val="18"/>
          <w:szCs w:val="18"/>
        </w:rPr>
        <w:t xml:space="preserve">Figura 1: Pantalla de Inicio y Catálogo de Locales de Sede San Joaquín (Modo Claro)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2.3. Personalización del Pedido y Notas de Cocina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 seleccionar un alimento, la ficha de producto permite elegir la cantidad, guardarlo en Mis Favoritos tocando el corazón y agregar notas especiales de preparación para cocina (ej: 'Sin mayonesa, bien caliente').</w:t>
      </w:r>
    </w:p>
    <w:p>
      <w:pPr>
        <w:spacing w:after="60" w:before="180"/>
        <w:jc w:val="center"/>
      </w:pPr>
      <w:r>
        <w:drawing>
          <wp:inline distT="0" distB="0" distL="0" distR="0">
            <wp:extent cx="2333625" cy="47625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A6A80"/>
          <w:sz w:val="18"/>
          <w:szCs w:val="18"/>
        </w:rPr>
        <w:t xml:space="preserve">Figura 2: Ficha Detallada del Producto con Campo de Notas Especiales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2.4. Carrito de Compras y Pago Open Banking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el carrito de compras, el estudiante revisa su pedido, el desglose de totales y selecciona su método de pago institucional (BancoEstado CuentaRUT o Tarjeta Junaeb BAES).</w:t>
      </w:r>
    </w:p>
    <w:p>
      <w:pPr>
        <w:spacing w:after="60" w:before="180"/>
        <w:jc w:val="center"/>
      </w:pPr>
      <w:r>
        <w:drawing>
          <wp:inline distT="0" distB="0" distL="0" distR="0">
            <wp:extent cx="2171700" cy="47625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A6A80"/>
          <w:sz w:val="18"/>
          <w:szCs w:val="18"/>
        </w:rPr>
        <w:t xml:space="preserve">Figura 3: Carrito de Compras con Resumen Financiero y Pago Directo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2.5. Código de Retiro y Notificaciones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Una vez confirmado el pago, el sistema asigna un código nemotécnico de 4 caracteres (ej: B3MR) con el cual el alumno retira su orden en mesón sin hacer filas. La app notifica en vivo cada avance de la cocina.</w:t>
      </w:r>
    </w:p>
    <w:p>
      <w:pPr>
        <w:spacing w:after="60" w:before="180"/>
        <w:jc w:val="center"/>
      </w:pPr>
      <w:r>
        <w:drawing>
          <wp:inline distT="0" distB="0" distL="0" distR="0">
            <wp:extent cx="2419350" cy="47625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A6A80"/>
          <w:sz w:val="18"/>
          <w:szCs w:val="18"/>
        </w:rPr>
        <w:t xml:space="preserve">Figura 4: Notificación Push en Android informando estado de entrega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2.6. Mi Cuenta y Modo Oscuro (Obsidian)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 la sección de perfil, el estudiante puede conmutar el Modo Oscuro Obsidian, consultar su historial y editar sus datos personales.</w:t>
      </w:r>
    </w:p>
    <w:p>
      <w:pPr>
        <w:spacing w:after="60" w:before="180"/>
        <w:jc w:val="center"/>
      </w:pPr>
      <w:r>
        <w:drawing>
          <wp:inline distT="0" distB="0" distL="0" distR="0">
            <wp:extent cx="2324100" cy="47625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A6A80"/>
          <w:sz w:val="18"/>
          <w:szCs w:val="18"/>
        </w:rPr>
        <w:t xml:space="preserve">Figura 5: Sección Mi Cuenta con Conmutador de Modo Oscuro</w:t>
      </w:r>
    </w:p>
    <w:p>
      <w:pPr>
        <w:pStyle w:val="Heading1"/>
        <w:pBdr>
          <w:bottom w:val="single" w:color="0B2A6B" w:sz="8" w:space="6"/>
        </w:pBdr>
        <w:spacing w:after="180" w:before="400"/>
      </w:pPr>
      <w:r>
        <w:rPr>
          <w:rFonts w:ascii="Calibri" w:cs="Calibri" w:eastAsia="Calibri" w:hAnsi="Calibri"/>
          <w:b/>
          <w:bCs/>
          <w:color w:val="0B2A6B"/>
          <w:sz w:val="30"/>
          <w:szCs w:val="30"/>
        </w:rPr>
        <w:t xml:space="preserve">3. Manual del Locatario (Dashboard Web de Cocina)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3D7A"/>
          <w:sz w:val="24"/>
          <w:szCs w:val="24"/>
        </w:rPr>
        <w:t xml:space="preserve">3.1. Tablero Kanban en Tiempo Real</w:t>
      </w:r>
    </w:p>
    <w:p>
      <w:pPr>
        <w:spacing w:after="140" w:line="260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El personal de cocina visualiza las comandas entrantes agrupadas en columnas de estado: Pendiente, En Preparación, Listo para Retiro y Entregado. Las nuevas órdenes ingresan acompañadas de una campanilla sonora de aviso.</w:t>
      </w:r>
    </w:p>
    <w:p>
      <w:pPr>
        <w:spacing w:after="60" w:before="180"/>
        <w:jc w:val="center"/>
      </w:pPr>
      <w:r>
        <w:drawing>
          <wp:inline distT="0" distB="0" distL="0" distR="0">
            <wp:extent cx="5124450" cy="173355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5A6A80"/>
          <w:sz w:val="18"/>
          <w:szCs w:val="18"/>
        </w:rPr>
        <w:t xml:space="preserve">Figura 6: Tablero Kanban Táctil en Tiempo Real para Personal de Cocina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2E0" w:sz="4" w:space="4"/>
      </w:pBdr>
      <w:spacing w:before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Página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begin"/>
    </w:r>
    <w:r>
      <w:rPr>
        <w:rFonts w:ascii="Calibri" w:cs="Calibri" w:eastAsia="Calibri" w:hAnsi="Calibri"/>
        <w:b/>
        <w:bCs/>
        <w:color w:val="0B2A6B"/>
        <w:sz w:val="17"/>
        <w:szCs w:val="17"/>
      </w:rPr>
      <w:instrText xml:space="preserve">PAGE</w:instrText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separate"/>
    </w:r>
    <w:r>
      <w:rPr>
        <w:rFonts w:ascii="Calibri" w:cs="Calibri" w:eastAsia="Calibri" w:hAnsi="Calibri"/>
        <w:b/>
        <w:bCs/>
        <w:color w:val="0B2A6B"/>
        <w:sz w:val="17"/>
        <w:szCs w:val="17"/>
      </w:rPr>
      <w:fldChar w:fldCharType="end"/>
    </w:r>
    <w:r>
      <w:rPr>
        <w:rFonts w:ascii="Calibri" w:cs="Calibri" w:eastAsia="Calibri" w:hAnsi="Calibri"/>
        <w:color w:val="5A6A80"/>
        <w:sz w:val="17"/>
        <w:szCs w:val="17"/>
      </w:rPr>
      <w:t xml:space="preserve"> de </w:t>
    </w:r>
    <w:r>
      <w:rPr>
        <w:rFonts w:ascii="Calibri" w:cs="Calibri" w:eastAsia="Calibri" w:hAnsi="Calibri"/>
        <w:color w:val="5A6A80"/>
        <w:sz w:val="17"/>
        <w:szCs w:val="17"/>
      </w:rPr>
      <w:fldChar w:fldCharType="begin"/>
    </w:r>
    <w:r>
      <w:rPr>
        <w:rFonts w:ascii="Calibri" w:cs="Calibri" w:eastAsia="Calibri" w:hAnsi="Calibri"/>
        <w:color w:val="5A6A80"/>
        <w:sz w:val="17"/>
        <w:szCs w:val="17"/>
      </w:rPr>
      <w:instrText xml:space="preserve">NUMPAGES</w:instrText>
    </w:r>
    <w:r>
      <w:rPr>
        <w:rFonts w:ascii="Calibri" w:cs="Calibri" w:eastAsia="Calibri" w:hAnsi="Calibri"/>
        <w:color w:val="5A6A80"/>
        <w:sz w:val="17"/>
        <w:szCs w:val="17"/>
      </w:rPr>
      <w:fldChar w:fldCharType="separate"/>
    </w:r>
    <w:r>
      <w:rPr>
        <w:rFonts w:ascii="Calibri" w:cs="Calibri" w:eastAsia="Calibri" w:hAnsi="Calibri"/>
        <w:color w:val="5A6A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2E0" w:sz="4" w:space="4"/>
      </w:pBdr>
      <w:spacing w:after="120"/>
      <w:jc w:val="right"/>
    </w:pPr>
    <w:r>
      <w:rPr>
        <w:rFonts w:ascii="Calibri" w:cs="Calibri" w:eastAsia="Calibri" w:hAnsi="Calibri"/>
        <w:color w:val="5A6A80"/>
        <w:sz w:val="17"/>
        <w:szCs w:val="17"/>
      </w:rPr>
      <w:t xml:space="preserve">SKIP Duoc UC (Sede San Joaquín)  |  </w:t>
    </w:r>
    <w:r>
      <w:rPr>
        <w:rFonts w:ascii="Calibri" w:cs="Calibri" w:eastAsia="Calibri" w:hAnsi="Calibri"/>
        <w:b/>
        <w:bCs/>
        <w:color w:val="0B2A6B"/>
        <w:sz w:val="17"/>
        <w:szCs w:val="17"/>
      </w:rPr>
      <w:t xml:space="preserve">Manual de Usuario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  <w:lvl w:ilvl="1" w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6a9f76754ea7bd0e4fc91dd1020901df1e7dd98.png"/><Relationship Id="rId10" Type="http://schemas.openxmlformats.org/officeDocument/2006/relationships/image" Target="media/bdbb1c66d5b9087abef1affafbd4ae0cc75e7561.png"/><Relationship Id="rId11" Type="http://schemas.openxmlformats.org/officeDocument/2006/relationships/image" Target="media/b2a57a0b327a9b39de4dcbadcc8af94291c4a06d.png"/><Relationship Id="rId12" Type="http://schemas.openxmlformats.org/officeDocument/2006/relationships/image" Target="media/92024e66e580fe057a1b907ed0def1328f3181b2.png"/><Relationship Id="rId13" Type="http://schemas.openxmlformats.org/officeDocument/2006/relationships/image" Target="media/77991cb954b29ae6687519d49f95be2b6fcad3d3.png"/><Relationship Id="rId14" Type="http://schemas.openxmlformats.org/officeDocument/2006/relationships/image" Target="media/b42af68f91169c5be103aae506dad6e2540ff3c8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2026-10-29T02:08:33.888Z</dcterms:created>
  <dcterms:modified xsi:type="dcterms:W3CDTF">2026-10-29T02:08:33.888Z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