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0B2A6B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DUOC UC  •  SEDE SAN JOAQUÍN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Checklist de Término del Proyecto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D0E1F9"/>
                <w:sz w:val="20"/>
                <w:szCs w:val="20"/>
              </w:rPr>
              <w:t xml:space="preserve">Acta Formal de Cierre y Verificación de Entregables  •  SKIP Duoc UC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Ficha Técnica del Proyecto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7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 Institucional</w:t>
            </w:r>
          </w:p>
        </w:tc>
      </w:tr>
      <w:tr>
        <w:tc>
          <w:tcPr>
            <w:tcW w:type="dxa" w:w="2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Proyecto</w:t>
            </w:r>
          </w:p>
        </w:tc>
        <w:tc>
          <w:tcPr>
            <w:tcW w:type="dxa" w:w="6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SKIP Duoc UC (Click &amp; Collect y Gestión Gastronómica Inteligente)</w:t>
            </w:r>
          </w:p>
        </w:tc>
      </w:tr>
      <w:tr>
        <w:tc>
          <w:tcPr>
            <w:tcW w:type="dxa" w:w="2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Sede</w:t>
            </w:r>
          </w:p>
        </w:tc>
        <w:tc>
          <w:tcPr>
            <w:tcW w:type="dxa" w:w="6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Duoc UC Sede San Joaquín (Santiago, Chile)</w:t>
            </w:r>
          </w:p>
        </w:tc>
      </w:tr>
      <w:tr>
        <w:tc>
          <w:tcPr>
            <w:tcW w:type="dxa" w:w="2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Fecha de Cierre</w:t>
            </w:r>
          </w:p>
        </w:tc>
        <w:tc>
          <w:tcPr>
            <w:tcW w:type="dxa" w:w="6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28 de Octubre de 2026</w:t>
            </w:r>
          </w:p>
        </w:tc>
      </w:tr>
      <w:tr>
        <w:tc>
          <w:tcPr>
            <w:tcW w:type="dxa" w:w="2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Versión</w:t>
            </w:r>
          </w:p>
        </w:tc>
        <w:tc>
          <w:tcPr>
            <w:tcW w:type="dxa" w:w="6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Release Candidate 1.0 (Rama main)</w:t>
            </w:r>
          </w:p>
        </w:tc>
      </w:tr>
      <w:tr>
        <w:tc>
          <w:tcPr>
            <w:tcW w:type="dxa" w:w="28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7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https://github.com/Tinxojrr/Skip-SJ.git</w:t>
            </w:r>
          </w:p>
        </w:tc>
      </w:tr>
    </w:tbl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1. Verificación de Requisitos Funcionales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400"/>
        <w:gridCol w:w="3600"/>
      </w:tblGrid>
      <w:tr>
        <w:trPr>
          <w:tblHeader/>
        </w:trPr>
        <w:tc>
          <w:tcPr>
            <w:tcW w:type="dxa" w:w="11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 Funcional</w:t>
            </w:r>
          </w:p>
        </w:tc>
        <w:tc>
          <w:tcPr>
            <w:tcW w:type="dxa" w:w="14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 de Cumplimiento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RF-01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Autenticación institucional exclusiva @duocuc.cl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Validación con regex y Supabase Auth.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RF-02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Catálogo segmentado por locales de Sede San Joaquín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Filtro reactivo por 5 locales comerciales.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RF-03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Personalización de pedidos con notas de cocina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Columna notas en pedido_items y visualización.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RF-04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Favoritos interactivos con persistencia en dispositivo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Store Zustand con persistencia local.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RF-05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Carrito con desglose de subtotal y recargo $300 CLP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Cálculo financiero transparente.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RF-06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Pasarela bancaria Open Banking (BancoEstado / BAES)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Autorización bancaria y boleta digital.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RF-07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Código nemotécnico de retiro de 4 caracteres (ej. B3MR)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Generación de código alfanumérico único.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RF-08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Tablero Kanban táctil para locatarios en tiempo real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Sincronización WebSocket en &lt; 500 ms.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RF-09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Alerta auditiva en cocina ante nueva comanda (Chime)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Reproducción sonora mediante Web Audio API.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RF-10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Control de disponibilidad y stock de platos en vivo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Interruptor instantáneo en panel de cocina.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RF-11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Copiloto Asesor con IA Generativa (Gemini 3 Flash)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Diagnóstico Bento de tiempos y upselling.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RF-12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Modo Oscuro Obsidian de alto contraste en toda la app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Paleta #09090B / #18181B / #F2A900.</w:t>
            </w:r>
          </w:p>
        </w:tc>
      </w:tr>
    </w:tbl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2. Verificación de Requisitos No Funcionales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400"/>
        <w:gridCol w:w="3600"/>
      </w:tblGrid>
      <w:tr>
        <w:trPr>
          <w:tblHeader/>
        </w:trPr>
        <w:tc>
          <w:tcPr>
            <w:tcW w:type="dxa" w:w="11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 Técnico / No Funcional</w:t>
            </w:r>
          </w:p>
        </w:tc>
        <w:tc>
          <w:tcPr>
            <w:tcW w:type="dxa" w:w="14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Observación / Métrica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RNF-01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Seguridad Row Level Security (RLS) en base de datos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Políticas activas en tablas públicas.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RNF-02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Latencia en tiempo real menor a 500 milisegundos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Medición promedio de 180 ms.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RNF-03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Concordancia fotográfica y enlaces 100% activos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Módulo productImages.ts con HTTP 200 OK.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RNF-04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Purga total de datos simulados y mocks en producción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0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Código limpio sin datos de prueba.</w:t>
            </w:r>
          </w:p>
        </w:tc>
      </w:tr>
      <w:tr>
        <w:tc>
          <w:tcPr>
            <w:tcW w:type="dxa" w:w="11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RNF-05</w:t>
            </w:r>
          </w:p>
        </w:tc>
        <w:tc>
          <w:tcPr>
            <w:tcW w:type="dxa" w:w="3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Compilación de TypeScript libre de advertencias y errores</w:t>
            </w:r>
          </w:p>
        </w:tc>
        <w:tc>
          <w:tcPr>
            <w:tcW w:type="dxa" w:w="14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Cumplido</w:t>
            </w:r>
          </w:p>
        </w:tc>
        <w:tc>
          <w:tcPr>
            <w:tcW w:type="dxa" w:w="360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tsc --noEmit con código de salida 0.</w:t>
            </w:r>
          </w:p>
        </w:tc>
      </w:tr>
    </w:tbl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3. Acta de Cierre y Aprobación de Entrega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Habiéndose comprobado el cumplimiento del 100% de los requisitos funcionales, pruebas de software y entregables técnicos comprometidos, se certifica la finalización y aprobación del proyecto SKIP Duoc UC.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 del Proyecto</w:t>
            </w:r>
          </w:p>
        </w:tc>
        <w:tc>
          <w:tcPr>
            <w:tcW w:type="dxa" w:w="4750"/>
            <w:shd w:fill="0B2A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Comisión Evaluadora / Docente Guía</w:t>
            </w:r>
          </w:p>
        </w:tc>
      </w:tr>
      <w:tr>
        <w:tc>
          <w:tcPr>
            <w:tcW w:type="dxa" w:w="475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Martin
Líder de Proyecto / QA
Equipo SKIP Duoc UC</w:t>
            </w:r>
          </w:p>
        </w:tc>
        <w:tc>
          <w:tcPr>
            <w:tcW w:type="dxa" w:w="4750"/>
            <w:tcBorders>
              <w:top w:val="single" w:color="C5D2E0" w:sz="4"/>
              <w:left w:val="single" w:color="C5D2E0" w:sz="4"/>
              <w:bottom w:val="single" w:color="C5D2E0" w:sz="4"/>
              <w:right w:val="single" w:color="C5D2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Docente Guía / Comisión de Título
Duoc UC Sede San Joaquín
Área Escuela de Informática y Telecomunicaciones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2E0" w:sz="4" w:space="4"/>
      </w:pBdr>
      <w:spacing w:before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Página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begin"/>
    </w:r>
    <w:r>
      <w:rPr>
        <w:rFonts w:ascii="Calibri" w:cs="Calibri" w:eastAsia="Calibri" w:hAnsi="Calibri"/>
        <w:b/>
        <w:bCs/>
        <w:color w:val="0B2A6B"/>
        <w:sz w:val="17"/>
        <w:szCs w:val="17"/>
      </w:rPr>
      <w:instrText xml:space="preserve">PAGE</w:instrTex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separate"/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end"/>
    </w:r>
    <w:r>
      <w:rPr>
        <w:rFonts w:ascii="Calibri" w:cs="Calibri" w:eastAsia="Calibri" w:hAnsi="Calibri"/>
        <w:color w:val="5A6A80"/>
        <w:sz w:val="17"/>
        <w:szCs w:val="17"/>
      </w:rPr>
      <w:t xml:space="preserve"> de </w:t>
    </w:r>
    <w:r>
      <w:rPr>
        <w:rFonts w:ascii="Calibri" w:cs="Calibri" w:eastAsia="Calibri" w:hAnsi="Calibri"/>
        <w:color w:val="5A6A80"/>
        <w:sz w:val="17"/>
        <w:szCs w:val="17"/>
      </w:rPr>
      <w:fldChar w:fldCharType="begin"/>
    </w:r>
    <w:r>
      <w:rPr>
        <w:rFonts w:ascii="Calibri" w:cs="Calibri" w:eastAsia="Calibri" w:hAnsi="Calibri"/>
        <w:color w:val="5A6A80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A6A80"/>
        <w:sz w:val="17"/>
        <w:szCs w:val="17"/>
      </w:rPr>
      <w:fldChar w:fldCharType="separate"/>
    </w:r>
    <w:r>
      <w:rPr>
        <w:rFonts w:ascii="Calibri" w:cs="Calibri" w:eastAsia="Calibri" w:hAnsi="Calibri"/>
        <w:color w:val="5A6A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2E0" w:sz="4" w:space="4"/>
      </w:pBdr>
      <w:spacing w:after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SKIP Duoc UC (Sede San Joaquín)  | 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t xml:space="preserve">Checklist de Término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  <w:lvl w:ilvl="1" w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2026-10-29T02:08:33.972Z</dcterms:created>
  <dcterms:modified xsi:type="dcterms:W3CDTF">2026-10-29T02:08:33.972Z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