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项目设计模式举例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单例模式（Singleton Pattern）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示例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：在一个多线程环境下，一个日志记录器只能有一个实例。通过单例模式，可以确保只创建一个日志记录器实例，并提供一个全局访问点。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特点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：单例模式保证一个类只有一个实例，并提供一个全局访问点来获取该实例。这对于需要共享资源或控制独占性资源的场景非常有用。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观察者模式（Observer Pattern）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示例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：一个发布-订阅系统中，多个观察者订阅一个主题，当主题发生变化时，观察者会被通知并进行相应的操作。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特点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：观察者模式定义了一种一对多的关系，其中一个主题对象可以有多个观察者对象，并在主题状态变化时自动通知观察者。这种模式松散耦合，使得主题和观察者之间的依赖性降低。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工厂模式（Factory Pattern）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示例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：一个汽车制造工厂可以根据客户需求创建不同类型的汽车，如轿车、卡车或SUV。客户只需要提供所需汽车类型的参数，工厂就能返回相应的汽车实例。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特点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：工厂模式提供一个公共接口来创建对象，但具体创建哪个类的对象由工厂决定。这样可以将对象的实例化和客户端代码分离，使代码更具可维护性和扩展性。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策略模式（Strategy Pattern）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示例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：一个图像处理应用程序可以根据用户选择的策略（如黑白滤镜、模糊滤镜或锐化滤镜）来处理图像。用户可以随时更改策略，而应用程序会根据选择的策略执行相应的图像处理操作。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特点</w:t>
      </w:r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：策略模式定义了一族可互换的算法，封装每个算法，并使它们可以相互替换。这使得算法可以独立于客户端而变化，提高了代码的灵活性和可维护性。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A2332CE"/>
    <w:rsid w:val="19602C5A"/>
    <w:rsid w:val="27A04C76"/>
    <w:rsid w:val="46B10B6F"/>
    <w:rsid w:val="4CE3746E"/>
    <w:rsid w:val="4FF529BA"/>
    <w:rsid w:val="69F32F6D"/>
    <w:rsid w:val="7E22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591</Words>
  <Characters>645</Characters>
  <Lines>0</Lines>
  <Paragraphs>0</Paragraphs>
  <TotalTime>0</TotalTime>
  <ScaleCrop>false</ScaleCrop>
  <LinksUpToDate>false</LinksUpToDate>
  <CharactersWithSpaces>649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2023-06-07T13:10:00Z</dcterms:created>
  <dc:creator>LEGLON</dc:creator>
  <cp:lastModifiedBy>Tiny  Snow</cp:lastModifiedBy>
  <dcterms:modified xsi:type="dcterms:W3CDTF">2023-06-07T13:13:13Z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F5C1D4A07B9F4CB781689061AAD0E972_12</vt:lpwstr>
  </property>
</Properties>
</file>