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i/>
          <w:sz w:val="15"/>
        </w:rPr>
        <w:t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before="0" w:after="80" w:line="240" w:lineRule="auto"/>
        <w:jc w:val="center"/>
      </w:pPr>
      <w:r>
        <w:rPr>
          <w:rFonts w:ascii="Avenir Next Condensed" w:hAnsi="Avenir Next Condensed"/>
          <w:b/>
          <w:color w:val="853694"/>
          <w:sz w:val="17"/>
        </w:rPr>
        <w:t>MEMORIAL HALL PRODUCTION ADVANCE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D9FA2"/>
          <w:left w:val="single" w:sz="4" w:color="9D9FA2"/>
          <w:bottom w:val="single" w:sz="4" w:color="9D9FA2"/>
          <w:right w:val="single" w:sz="4" w:color="9D9FA2"/>
          <w:insideH w:val="single" w:sz="4" w:color="9D9FA2"/>
          <w:insideV w:val="single" w:sz="4" w:color="9D9FA2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  <w:tblLayout w:type="fixed"/>
      </w:tblPr>
      <w:tblGrid>
        <w:gridCol w:w="5400"/>
        <w:gridCol w:w="5400"/>
      </w:tblGrid>
      <w:tr>
        <w:tc>
          <w:tcPr>
            <w:tcW w:type="dxa" w:w="2952"/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Avenir Next Condensed" w:hAnsi="Avenir Next Condensed"/>
                <w:b/>
                <w:i w:val="0"/>
                <w:sz w:val="19"/>
              </w:rPr>
              <w:t>SCHEDULE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color="9D9FA2"/>
                <w:left w:val="single" w:sz="4" w:color="9D9FA2"/>
                <w:bottom w:val="single" w:sz="4" w:color="9D9FA2"/>
                <w:right w:val="single" w:sz="4" w:color="9D9FA2"/>
                <w:insideH w:val="single" w:sz="4" w:color="9D9FA2"/>
                <w:insideV w:val="single" w:sz="4" w:color="9D9FA2"/>
              </w:tblBorders>
              <w:tblLayout w:type="fixed"/>
              <w:tblCellMar>
                <w:top w:w="14" w:type="dxa"/>
                <w:left w:w="60" w:type="dxa"/>
                <w:bottom w:w="14" w:type="dxa"/>
                <w:right w:w="60" w:type="dxa"/>
              </w:tblCellMar>
              <w:tblLayout w:type="fixed"/>
            </w:tblPr>
            <w:tblGrid>
              <w:gridCol w:w="2700"/>
              <w:gridCol w:w="2700"/>
            </w:tblGrid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Crew Call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Backline Load-In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Artist Load-In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Sound Check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Crew Break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Security Meeting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Doors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House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1 Start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1 End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Intermission (20m)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4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2 Start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2 End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End of Show / Load-Out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Curfew (+90 min)</w:t>
                  </w:r>
                </w:p>
              </w:tc>
            </w:tr>
          </w:tbl>
          <w:p/>
          <w:p>
            <w:pPr>
              <w:spacing w:before="80" w:after="0" w:line="240" w:lineRule="auto"/>
            </w:pPr>
          </w:p>
          <w:p>
            <w:pPr>
              <w:spacing w:before="0" w:after="0" w:line="240" w:lineRule="auto"/>
            </w:pPr>
            <w:r>
              <w:rPr>
                <w:rFonts w:ascii="Avenir Next Condensed" w:hAnsi="Avenir Next Condensed"/>
                <w:b/>
                <w:i w:val="0"/>
                <w:sz w:val="19"/>
              </w:rPr>
              <w:t>CREW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color="9D9FA2"/>
                <w:left w:val="single" w:sz="4" w:color="9D9FA2"/>
                <w:bottom w:val="single" w:sz="4" w:color="9D9FA2"/>
                <w:right w:val="single" w:sz="4" w:color="9D9FA2"/>
                <w:insideH w:val="single" w:sz="4" w:color="9D9FA2"/>
                <w:insideV w:val="single" w:sz="4" w:color="9D9FA2"/>
              </w:tblBorders>
              <w:tblLayout w:type="fixed"/>
              <w:tblCellMar>
                <w:top w:w="14" w:type="dxa"/>
                <w:left w:w="60" w:type="dxa"/>
                <w:bottom w:w="14" w:type="dxa"/>
                <w:right w:w="60" w:type="dxa"/>
              </w:tblCellMar>
              <w:tblLayout w:type="fixed"/>
            </w:tblPr>
            <w:tblGrid>
              <w:gridCol w:w="2700"/>
              <w:gridCol w:w="2700"/>
            </w:tblGrid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FOH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Monitors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LX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Hand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Hand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Video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Support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Support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Support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Memo Lead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Joe · 216-288-7269</w:t>
                  </w:r>
                </w:p>
              </w:tc>
            </w:tr>
          </w:tbl>
          <w:p/>
          <w:p>
            <w:pPr>
              <w:spacing w:before="60" w:after="0" w:line="240" w:lineRule="auto"/>
            </w:pPr>
            <w:r>
              <w:rPr>
                <w:rFonts w:ascii="Avenir Next Condensed" w:hAnsi="Avenir Next Condensed"/>
                <w:b/>
                <w:i w:val="0"/>
                <w:sz w:val="15"/>
              </w:rPr>
              <w:t>House notes: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 w:val="0"/>
                <w:i/>
                <w:sz w:val="15"/>
              </w:rPr>
              <w:t>At Memo, techs are generally not responsible for paying the band.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 w:val="0"/>
                <w:i/>
                <w:sz w:val="15"/>
              </w:rPr>
              <w:t>Artists and clients are always welcome to the coffee/tea set-ups in the dressing rooms.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 w:val="0"/>
                <w:i/>
                <w:sz w:val="15"/>
              </w:rPr>
              <w:t>Route pre-roll to the ballrooms and theater. Route show video and audio to the ballrooms.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/>
                <w:i w:val="0"/>
                <w:sz w:val="15"/>
              </w:rPr>
              <w:t>**When they arrive, introduce yourself to the client, [NAME], so they can put faces to names.</w:t>
            </w:r>
          </w:p>
        </w:tc>
        <w:tc>
          <w:tcPr>
            <w:tcW w:type="dxa" w:w="7848"/>
            <w:vAlign w:val="top"/>
          </w:tcPr>
          <w:p>
            <w:pPr>
              <w:spacing w:before="0" w:after="0" w:line="240" w:lineRule="auto"/>
            </w:pPr>
            <w:r/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color="9D9FA2"/>
                <w:left w:val="single" w:sz="4" w:color="9D9FA2"/>
                <w:bottom w:val="single" w:sz="4" w:color="9D9FA2"/>
                <w:right w:val="single" w:sz="4" w:color="9D9FA2"/>
                <w:insideH w:val="single" w:sz="4" w:color="9D9FA2"/>
                <w:insideV w:val="single" w:sz="4" w:color="9D9FA2"/>
              </w:tblBorders>
              <w:tblLayout w:type="fixed"/>
              <w:tblCellMar>
                <w:top w:w="14" w:type="dxa"/>
                <w:left w:w="55" w:type="dxa"/>
                <w:bottom w:w="14" w:type="dxa"/>
                <w:right w:w="55" w:type="dxa"/>
              </w:tblCellMar>
              <w:tblLayout w:type="fixed"/>
            </w:tblPr>
            <w:tblGrid>
              <w:gridCol w:w="2700"/>
              <w:gridCol w:w="2700"/>
            </w:tblGrid>
            <w:tr>
              <w:tc>
                <w:tcPr>
                  <w:tcW w:type="dxa" w:w="1656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EVENT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INFORMATION</w:t>
                  </w:r>
                </w:p>
              </w:tc>
              <w:tc>
                <w:tcPr>
                  <w:tcW w:type="dxa" w:w="6048"/>
                  <w:shd w:val="clear" w:color="auto" w:fill="EEEEEF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Date: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Event: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Presenter: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Venue: Memorial Hall · 1225 Elm St, Cincinnati OH 45202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Event Type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Internal Event  ☐ Third Party Event:</w:t>
                  </w:r>
                </w:p>
              </w:tc>
            </w:tr>
            <w:tr>
              <w:tc>
                <w:tcPr>
                  <w:tcW w:type="dxa" w:w="6048"/>
                  <w:gridSpan w:val="2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AUDIO</w:t>
                  </w:r>
                </w:p>
              </w:tc>
            </w:tr>
            <w:tr>
              <w:tc>
                <w:tcPr>
                  <w:tcW w:type="dxa" w:w="1656"/>
                </w:tcPr>
                <w:p/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ARTIST: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Set Length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Stage Plot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Engineer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FOH –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Consoles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FOH –  ☐ House Q225  ☐ Tour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Mon –  ☐ House  ☐ Tour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Monitors / IEMs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Wedges:     IEMs:  ☐ Yes  ☐ No  #: 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Input Notes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Backline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  (brings all)</w:t>
                  </w:r>
                </w:p>
              </w:tc>
            </w:tr>
            <w:tr>
              <w:tc>
                <w:tcPr>
                  <w:tcW w:type="dxa" w:w="6048"/>
                  <w:gridSpan w:val="2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LIGHTING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LD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House LD  ☐ Artist LD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LX Console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Memo  ☐ Tour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Ground Package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Lighting Notes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6048"/>
                  <w:gridSpan w:val="2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SCENIC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Risers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No  #:   (4' x 8' x 1')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Grand Piano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Scenic Notes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6048"/>
                  <w:gridSpan w:val="2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MISC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Dressing Rooms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A ☐  B ☐  C ☐  D ☐  Studio ☐  Any ☐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Stage Support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A ☐  B ☐  C ☐  D ☐  Studio ☐  None ☐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Performers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Hospitality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  $ ________  ☐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Buyout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  $ ________  ☐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Parking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SP+ Lot — Dashboard passes: ____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Washington Park — passes: ____  ☐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Hotel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Merch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They sell  ☐ Memo sells  ☐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Runner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Ground Transport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Meet &amp; Greet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Photography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Photo Restrictions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Settlement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☐ Yes  ☐ No  Contact: 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Band Contact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Name: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Cell:         Email: 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Additional Info</w:t>
                  </w:r>
                </w:p>
              </w:tc>
              <w:tc>
                <w:tcPr>
                  <w:tcW w:type="dxa" w:w="6048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Internal Notes</w:t>
                  </w:r>
                </w:p>
              </w:tc>
              <w:tc>
                <w:tcPr>
                  <w:tcW w:type="dxa" w:w="6048"/>
                  <w:vAlign w:val="center"/>
                  <w:shd w:val="clear" w:color="auto" w:fill="EEEEEF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</w:tbl>
          <w:p/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sectPr w:rsidR="00FC693F" w:rsidRPr="0006063C" w:rsidSect="00034616">
      <w:headerReference w:type="default" r:id="rId9"/>
      <w:pgSz w:w="12240" w:h="15840"/>
      <w:pgMar w:top="936" w:right="720" w:bottom="432" w:left="720" w:header="432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10800" w:val="right"/>
      </w:tabs>
    </w:pPr>
    <w:r>
      <w:drawing>
        <wp:inline xmlns:a="http://schemas.openxmlformats.org/drawingml/2006/main" xmlns:pic="http://schemas.openxmlformats.org/drawingml/2006/picture">
          <wp:extent cx="809503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3cdc-prima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9503" cy="27432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1074700" cy="237744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emorial-hall-type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74700" cy="23774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venir Next" w:hAnsi="Avenir Next" w:eastAsia="Avenir Next"/>
      <w:color w:val="595A5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