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In/Sound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Performance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Load-out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Drink Tickets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>See site schedule in dropbox for artist check info</w:t>
            </w:r>
          </w:p>
          <w:p>
            <w:pPr>
              <w:spacing w:after="1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>*Please route music at porch through park via BSS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>*Make sure to pull pandora from the panel behind the bar to your console for band breaks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55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Band: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type="dxa" w:w="5550"/>
                  <w:gridSpan w:val="1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5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Main Stage     </w:t>
                  </w:r>
                  <w:sdt>
                    <w:sdtPr>
                      <w:id w:val="10000005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Porch     </w:t>
                  </w:r>
                  <w:sdt>
                    <w:sdtPr>
                      <w:id w:val="10000005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Bandstand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1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4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Internal Event:     </w:t>
                  </w:r>
                  <w:sdt>
                    <w:sdtPr>
                      <w:id w:val="10000004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t xml:space="preserve">Are we paying the band?   </w:t>
                  </w:r>
                  <w:sdt>
                    <w:sdtPr>
                      <w:id w:val="10000005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5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FOH – M32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(cap: Main Stage 6 / Bandstand 4 / Porch 2)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5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5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5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5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No scenic elements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2026-09-04T02:08:31.059Z</dcterms:created>
  <dcterms:modified xsi:type="dcterms:W3CDTF">2026-09-04T02:08:31.060Z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