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i/>
          <w:sz w:val="15"/>
        </w:rPr>
        <w:t>“The 3CDC Tech Team’s purpose is to provide professional event support that enriches the Cincinnati community while maintaining safe and respectful environments and prioritizing integrity, teamwork and quality.”</w:t>
      </w:r>
    </w:p>
    <w:p>
      <w:pPr>
        <w:spacing w:before="0" w:after="80" w:line="240" w:lineRule="auto"/>
        <w:jc w:val="center"/>
      </w:pPr>
      <w:r>
        <w:rPr>
          <w:rFonts w:ascii="Avenir Next Condensed" w:hAnsi="Avenir Next Condensed"/>
          <w:b/>
          <w:color w:val="853694"/>
          <w:sz w:val="17"/>
        </w:rPr>
        <w:t>MEMORIAL HALL PRODUCTION ADVANCE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D9FA2"/>
          <w:left w:val="single" w:sz="4" w:color="9D9FA2"/>
          <w:bottom w:val="single" w:sz="4" w:color="9D9FA2"/>
          <w:right w:val="single" w:sz="4" w:color="9D9FA2"/>
          <w:insideH w:val="single" w:sz="4" w:color="9D9FA2"/>
          <w:insideV w:val="single" w:sz="4" w:color="9D9FA2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  <w:tblLayout w:type="fixed"/>
      </w:tblPr>
      <w:tblGrid>
        <w:gridCol w:w="5400"/>
        <w:gridCol w:w="5400"/>
      </w:tblGrid>
      <w:tr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venir Next Condensed" w:hAnsi="Avenir Next Condensed"/>
                <w:b/>
                <w:i w:val="0"/>
                <w:sz w:val="19"/>
              </w:rPr>
              <w:t>SCHEDULE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D9FA2"/>
                <w:left w:val="single" w:sz="4" w:color="9D9FA2"/>
                <w:bottom w:val="single" w:sz="4" w:color="9D9FA2"/>
                <w:right w:val="single" w:sz="4" w:color="9D9FA2"/>
                <w:insideH w:val="single" w:sz="4" w:color="9D9FA2"/>
                <w:insideV w:val="single" w:sz="4" w:color="9D9FA2"/>
              </w:tblBorders>
              <w:tblLayout w:type="fixed"/>
              <w:tblCellMar>
                <w:top w:w="14" w:type="dxa"/>
                <w:left w:w="60" w:type="dxa"/>
                <w:bottom w:w="14" w:type="dxa"/>
                <w:right w:w="60" w:type="dxa"/>
              </w:tblCellMar>
              <w:tblLayout w:type="fixed"/>
            </w:tblPr>
            <w:tblGrid>
              <w:gridCol w:w="2700"/>
              <w:gridCol w:w="2700"/>
            </w:tblGrid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Crew Call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Backline Load-In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Artist Load-In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Sound Check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Crew Break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Security Meeting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Doors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House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Set 1 Start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Set 1 End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Intermission (20m)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4"/>
                    </w:rPr>
                    <w:t>☐ Yes  ☐ No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Set 2 Start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Set 2 End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End of Show / Load-Out</w:t>
                  </w:r>
                </w:p>
              </w:tc>
            </w:tr>
            <w:tr>
              <w:tc>
                <w:tcPr>
                  <w:tcW w:type="dxa" w:w="72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5"/>
                    </w:rPr>
                  </w:r>
                </w:p>
              </w:tc>
              <w:tc>
                <w:tcPr>
                  <w:tcW w:type="dxa" w:w="2016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Curfew (+90 min)</w:t>
                  </w:r>
                </w:p>
              </w:tc>
            </w:tr>
          </w:tbl>
          <w:p/>
          <w:p>
            <w:pPr>
              <w:spacing w:before="8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Avenir Next Condensed" w:hAnsi="Avenir Next Condensed"/>
                <w:b/>
                <w:i w:val="0"/>
                <w:sz w:val="19"/>
              </w:rPr>
              <w:t>CREW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D9FA2"/>
                <w:left w:val="single" w:sz="4" w:color="9D9FA2"/>
                <w:bottom w:val="single" w:sz="4" w:color="9D9FA2"/>
                <w:right w:val="single" w:sz="4" w:color="9D9FA2"/>
                <w:insideH w:val="single" w:sz="4" w:color="9D9FA2"/>
                <w:insideV w:val="single" w:sz="4" w:color="9D9FA2"/>
              </w:tblBorders>
              <w:tblLayout w:type="fixed"/>
              <w:tblCellMar>
                <w:top w:w="14" w:type="dxa"/>
                <w:left w:w="60" w:type="dxa"/>
                <w:bottom w:w="14" w:type="dxa"/>
                <w:right w:w="60" w:type="dxa"/>
              </w:tblCellMar>
              <w:tblLayout w:type="fixed"/>
            </w:tblPr>
            <w:tblGrid>
              <w:gridCol w:w="2700"/>
              <w:gridCol w:w="2700"/>
            </w:tblGrid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FOH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Monitors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LX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Hand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Hand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Video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Support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Support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Stage Support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03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5"/>
                    </w:rPr>
                    <w:t>Memo Lead</w:t>
                  </w:r>
                </w:p>
              </w:tc>
              <w:tc>
                <w:tcPr>
                  <w:tcW w:type="dxa" w:w="1699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Joe · 216-288-7269</w:t>
                  </w:r>
                </w:p>
              </w:tc>
            </w:tr>
          </w:tbl>
          <w:p/>
          <w:p>
            <w:pPr>
              <w:spacing w:before="60" w:after="0" w:line="240" w:lineRule="auto"/>
            </w:pPr>
            <w:r>
              <w:rPr>
                <w:rFonts w:ascii="Avenir Next Condensed" w:hAnsi="Avenir Next Condensed"/>
                <w:b/>
                <w:i w:val="0"/>
                <w:sz w:val="15"/>
              </w:rPr>
              <w:t>House notes: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 w:val="0"/>
                <w:i/>
                <w:sz w:val="15"/>
              </w:rPr>
              <w:t>At Memo, techs are generally not responsible for paying the band.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 w:val="0"/>
                <w:i/>
                <w:sz w:val="15"/>
              </w:rPr>
              <w:t>Artists and clients are always welcome to the coffee/tea set-ups in the dressing rooms.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 w:val="0"/>
                <w:i/>
                <w:sz w:val="15"/>
              </w:rPr>
              <w:t>Route pre-roll to the ballrooms and theater. Route show video and audio to the ballrooms.</w:t>
            </w:r>
          </w:p>
          <w:p>
            <w:pPr>
              <w:spacing w:before="60" w:after="0" w:line="240" w:lineRule="auto"/>
            </w:pPr>
            <w:r>
              <w:rPr>
                <w:rFonts w:ascii="Avenir Next" w:hAnsi="Avenir Next"/>
                <w:b/>
                <w:i w:val="0"/>
                <w:sz w:val="15"/>
              </w:rPr>
              <w:t>**When they arrive, introduce yourself to the client, [NAME], so they can put faces to names.</w:t>
            </w:r>
          </w:p>
        </w:tc>
        <w:tc>
          <w:tcPr>
            <w:tcW w:type="dxa" w:w="7848"/>
            <w:vAlign w:val="top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9D9FA2"/>
                <w:left w:val="single" w:sz="4" w:color="9D9FA2"/>
                <w:bottom w:val="single" w:sz="4" w:color="9D9FA2"/>
                <w:right w:val="single" w:sz="4" w:color="9D9FA2"/>
                <w:insideH w:val="single" w:sz="4" w:color="9D9FA2"/>
                <w:insideV w:val="single" w:sz="4" w:color="9D9FA2"/>
              </w:tblBorders>
              <w:tblLayout w:type="fixed"/>
              <w:tblCellMar>
                <w:top w:w="14" w:type="dxa"/>
                <w:left w:w="55" w:type="dxa"/>
                <w:bottom w:w="14" w:type="dxa"/>
                <w:right w:w="55" w:type="dxa"/>
              </w:tblCellMar>
              <w:tblLayout w:type="fixed"/>
            </w:tblPr>
            <w:tblGrid>
              <w:gridCol w:w="2700"/>
              <w:gridCol w:w="2700"/>
            </w:tblGrid>
            <w:tr>
              <w:tc>
                <w:tcPr>
                  <w:tcW w:type="dxa" w:w="1656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EVENT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INFORMATION</w:t>
                  </w:r>
                </w:p>
              </w:tc>
              <w:tc>
                <w:tcPr>
                  <w:tcW w:type="dxa" w:w="6048"/>
                  <w:shd w:val="clear" w:color="auto" w:fill="EEEEEF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Date: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Event: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Presenter: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Venue: Memorial Hall · 1225 Elm St, Cincinnati OH 45202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Event Type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Internal Event  ☐ Third Party Event:</w:t>
                  </w:r>
                </w:p>
              </w:tc>
            </w:tr>
            <w:tr>
              <w:tc>
                <w:tcPr>
                  <w:tcW w:type="dxa" w:w="6048"/>
                  <w:gridSpan w:val="2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AUDIO</w:t>
                  </w:r>
                </w:p>
              </w:tc>
            </w:tr>
            <w:tr>
              <w:tc>
                <w:tcPr>
                  <w:tcW w:type="dxa" w:w="1656"/>
                </w:tcPr>
                <w:p/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ARTIST: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Set Length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Stage Plot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Engineer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FOH –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Mon – 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Consoles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FOH –  ☐ House Q225  ☐ Tour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Mon –  ☐ House  ☐ Tour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Monitors / IEMs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Wedges:     IEMs:  ☐ Yes  ☐ No  #: 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Input Notes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Backline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Yes  ☐ No  (brings all)</w:t>
                  </w:r>
                </w:p>
              </w:tc>
            </w:tr>
            <w:tr>
              <w:tc>
                <w:tcPr>
                  <w:tcW w:type="dxa" w:w="6048"/>
                  <w:gridSpan w:val="2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LIGHTING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LD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House LD  ☐ Artist LD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LX Console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Memo  ☐ Tour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Ground Package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Lighting Notes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6048"/>
                  <w:gridSpan w:val="2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SCENIC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Risers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Yes  ☐ No  #:   (4' x 8' x 1')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Grand Piano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Scenic Notes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6048"/>
                  <w:gridSpan w:val="2"/>
                  <w:shd w:val="clear" w:color="auto" w:fill="595A5C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 Condensed" w:hAnsi="Avenir Next Condensed"/>
                      <w:b/>
                      <w:i w:val="0"/>
                      <w:color w:val="FFFFFF"/>
                      <w:sz w:val="17"/>
                    </w:rPr>
                    <w:t>MISC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Dressing Rooms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A ☐  B ☐  C ☐  D ☐  Studio ☐  Any ☐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Stage Support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A ☐  B ☐  C ☐  D ☐  Studio ☐  None ☐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Performers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Hospitality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  $ ________  ☐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Buyout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  $ ________  ☐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Parking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SP+ Lot — Dashboard passes: ____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Washington Park — passes: ____  ☐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Hotel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Merch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They sell  ☐ Memo sells  ☐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Runner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Ground Transport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Meet &amp; Greet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Photography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>☐ Yes  ☐ No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Photo Restrictions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Settlement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☐ Yes  ☐ No  Contact: 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Band Contact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Name: 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  <w:t xml:space="preserve">Cell:         Email: </w:t>
                  </w:r>
                </w:p>
              </w:tc>
            </w:tr>
            <w:tr>
              <w:tc>
                <w:tcPr>
                  <w:tcW w:type="dxa" w:w="1656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venir Next Condensed" w:hAnsi="Avenir Next Condensed"/>
                      <w:b/>
                      <w:i w:val="0"/>
                      <w:sz w:val="17"/>
                    </w:rPr>
                    <w:t>Additional Info</w:t>
                  </w:r>
                </w:p>
              </w:tc>
              <w:tc>
                <w:tcPr>
                  <w:tcW w:type="dxa" w:w="604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/>
                      <w:b w:val="0"/>
                      <w:i w:val="0"/>
                      <w:sz w:val="17"/>
                    </w:rPr>
                  </w:r>
                </w:p>
              </w:tc>
            </w:tr>
          </w:tbl>
          <w:p/>
        </w:tc>
      </w:tr>
    </w:tbl>
    <w:p>
      <w:pPr>
        <w:spacing w:before="0" w:after="0" w:line="20" w:lineRule="exact"/>
      </w:pPr>
      <w:r>
        <w:rPr>
          <w:sz w:val="2"/>
        </w:rPr>
        <w:t xml:space="preserve"> </w:t>
      </w:r>
    </w:p>
    <w:sectPr w:rsidR="00FC693F" w:rsidRPr="0006063C" w:rsidSect="00034616">
      <w:headerReference w:type="default" r:id="rId9"/>
      <w:pgSz w:w="12240" w:h="15840"/>
      <w:pgMar w:top="936" w:right="720" w:bottom="432" w:left="72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10800" w:val="right"/>
      </w:tabs>
    </w:pPr>
    <w:r>
      <w:drawing>
        <wp:inline xmlns:a="http://schemas.openxmlformats.org/drawingml/2006/main" xmlns:pic="http://schemas.openxmlformats.org/drawingml/2006/picture">
          <wp:extent cx="809503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cdc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503" cy="27432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drawing>
        <wp:inline xmlns:a="http://schemas.openxmlformats.org/drawingml/2006/main" xmlns:pic="http://schemas.openxmlformats.org/drawingml/2006/picture">
          <wp:extent cx="1074700" cy="237744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orial-hall-type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4700" cy="23774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venir Next" w:hAnsi="Avenir Next" w:eastAsia="Avenir Next"/>
      <w:color w:val="595A5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