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MineAssure — System Architecture Document</w:t>
      </w:r>
    </w:p>
    <w:p>
      <w:pPr>
        <w:pStyle w:val="Subtitle"/>
      </w:pPr>
      <w:r>
        <w:t>SAD v0.1 | Secure, Traceable Mining Invoice Assurance</w:t>
      </w:r>
    </w:p>
    <w:p>
      <w:r>
        <w:t>NEXUS AGRONOMICS  |  MineAssure  |  v0.1  |  25 October 2026</w:t>
      </w:r>
    </w:p>
    <w:p>
      <w:r>
        <w:t>Status: Draft for internal review and partner discovery. All sample values and commercial assumptions are illustrative.</w:t>
      </w:r>
    </w:p>
    <w:p>
      <w:pPr>
        <w:pStyle w:val="Heading1"/>
      </w:pPr>
      <w:r>
        <w:t>1. Architecture overview</w:t>
      </w:r>
    </w:p>
    <w:p>
      <w:r>
        <w:t>MineAssure is a modular web application for reconciling mining contractor invoices against contracts and operational evidence. The first deployment is a modular monolith with background workers, a relational database and private document storage; boundaries permit extraction into services if scale or compliance later warrants it. The deterministic assurance engine owns financial computations, while humans own acceptance and payment readiness decisions.</w:t>
      </w:r>
    </w:p>
    <w:p>
      <w:pPr>
        <w:pStyle w:val="Heading1"/>
      </w:pPr>
      <w:r>
        <w:t>2. Architecture drivers and design principles</w:t>
      </w:r>
    </w:p>
    <w:p>
      <w:pPr>
        <w:pStyle w:val="ListBullet"/>
      </w:pPr>
      <w:r>
        <w:t>Explainability first: every result identifies precise inputs, applicable contract version, rule version and calculation trace.</w:t>
      </w:r>
    </w:p>
    <w:p>
      <w:pPr>
        <w:pStyle w:val="ListBullet"/>
      </w:pPr>
      <w:r>
        <w:t>Tenant isolation and least privilege on every data access path, including exports and background jobs.</w:t>
      </w:r>
    </w:p>
    <w:p>
      <w:pPr>
        <w:pStyle w:val="ListBullet"/>
      </w:pPr>
      <w:r>
        <w:t>No AI-generated financial decisions; optional extraction assistance must require validation and preserve originals.</w:t>
      </w:r>
    </w:p>
    <w:p>
      <w:pPr>
        <w:pStyle w:val="ListBullet"/>
      </w:pPr>
      <w:r>
        <w:t>Idempotency for imports, reconciliation and exports; use immutable run snapshots for reproducibility.</w:t>
      </w:r>
    </w:p>
    <w:p>
      <w:pPr>
        <w:pStyle w:val="ListBullet"/>
      </w:pPr>
      <w:r>
        <w:t>Financial correctness via decimal data types, units of measure, effective dates, tolerances and explicit rounding.</w:t>
      </w:r>
    </w:p>
    <w:p>
      <w:pPr>
        <w:pStyle w:val="ListBullet"/>
      </w:pPr>
      <w:r>
        <w:t>Integrations are read-first and file-based in MVP, moving to controlled external APIs only with customer permission.</w:t>
      </w:r>
    </w:p>
    <w:p>
      <w:pPr>
        <w:pStyle w:val="Heading1"/>
      </w:pPr>
      <w:r>
        <w:t>3. Logical context and components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Technology (proposed)</w:t>
            </w:r>
          </w:p>
        </w:tc>
      </w:tr>
      <w:tr>
        <w:tc>
          <w:tcPr>
            <w:tcW w:type="dxa" w:w="2880"/>
          </w:tcPr>
          <w:p>
            <w:r>
              <w:t>Web UI</w:t>
            </w:r>
          </w:p>
        </w:tc>
        <w:tc>
          <w:tcPr>
            <w:tcW w:type="dxa" w:w="2880"/>
          </w:tcPr>
          <w:p>
            <w:r>
              <w:t>Dashboard, contract/evidence/invoice workflows, review queue and audit views</w:t>
            </w:r>
          </w:p>
        </w:tc>
        <w:tc>
          <w:tcPr>
            <w:tcW w:type="dxa" w:w="2880"/>
          </w:tcPr>
          <w:p>
            <w:r>
              <w:t>React + TypeScript + Vite</w:t>
            </w:r>
          </w:p>
        </w:tc>
      </w:tr>
      <w:tr>
        <w:tc>
          <w:tcPr>
            <w:tcW w:type="dxa" w:w="2880"/>
          </w:tcPr>
          <w:p>
            <w:r>
              <w:t>API / policy layer</w:t>
            </w:r>
          </w:p>
        </w:tc>
        <w:tc>
          <w:tcPr>
            <w:tcW w:type="dxa" w:w="2880"/>
          </w:tcPr>
          <w:p>
            <w:r>
              <w:t>Authentication, tenant/site scope, authorisation, request validation, audit events</w:t>
            </w:r>
          </w:p>
        </w:tc>
        <w:tc>
          <w:tcPr>
            <w:tcW w:type="dxa" w:w="2880"/>
          </w:tcPr>
          <w:p>
            <w:r>
              <w:t>Python FastAPI</w:t>
            </w:r>
          </w:p>
        </w:tc>
      </w:tr>
      <w:tr>
        <w:tc>
          <w:tcPr>
            <w:tcW w:type="dxa" w:w="2880"/>
          </w:tcPr>
          <w:p>
            <w:r>
              <w:t>Contract domain</w:t>
            </w:r>
          </w:p>
        </w:tc>
        <w:tc>
          <w:tcPr>
            <w:tcW w:type="dxa" w:w="2880"/>
          </w:tcPr>
          <w:p>
            <w:r>
              <w:t>Effective-dated contract snapshots, rate schedule and variations</w:t>
            </w:r>
          </w:p>
        </w:tc>
        <w:tc>
          <w:tcPr>
            <w:tcW w:type="dxa" w:w="2880"/>
          </w:tcPr>
          <w:p>
            <w:r>
              <w:t>Python service module</w:t>
            </w:r>
          </w:p>
        </w:tc>
      </w:tr>
      <w:tr>
        <w:tc>
          <w:tcPr>
            <w:tcW w:type="dxa" w:w="2880"/>
          </w:tcPr>
          <w:p>
            <w:r>
              <w:t>Evidence domain</w:t>
            </w:r>
          </w:p>
        </w:tc>
        <w:tc>
          <w:tcPr>
            <w:tcW w:type="dxa" w:w="2880"/>
          </w:tcPr>
          <w:p>
            <w:r>
              <w:t>CSV/XLSX mappings, operational records, file metadata and provenance</w:t>
            </w:r>
          </w:p>
        </w:tc>
        <w:tc>
          <w:tcPr>
            <w:tcW w:type="dxa" w:w="2880"/>
          </w:tcPr>
          <w:p>
            <w:r>
              <w:t>Python service module + object storage</w:t>
            </w:r>
          </w:p>
        </w:tc>
      </w:tr>
      <w:tr>
        <w:tc>
          <w:tcPr>
            <w:tcW w:type="dxa" w:w="2880"/>
          </w:tcPr>
          <w:p>
            <w:r>
              <w:t>Assurance domain</w:t>
            </w:r>
          </w:p>
        </w:tc>
        <w:tc>
          <w:tcPr>
            <w:tcW w:type="dxa" w:w="2880"/>
          </w:tcPr>
          <w:p>
            <w:r>
              <w:t>Line matching, decimal calculations, rule engine and findings</w:t>
            </w:r>
          </w:p>
        </w:tc>
        <w:tc>
          <w:tcPr>
            <w:tcW w:type="dxa" w:w="2880"/>
          </w:tcPr>
          <w:p>
            <w:r>
              <w:t>Python pure domain functions</w:t>
            </w:r>
          </w:p>
        </w:tc>
      </w:tr>
      <w:tr>
        <w:tc>
          <w:tcPr>
            <w:tcW w:type="dxa" w:w="2880"/>
          </w:tcPr>
          <w:p>
            <w:r>
              <w:t>Case/approval domain</w:t>
            </w:r>
          </w:p>
        </w:tc>
        <w:tc>
          <w:tcPr>
            <w:tcW w:type="dxa" w:w="2880"/>
          </w:tcPr>
          <w:p>
            <w:r>
              <w:t>Review transitions, segregation of duties, threshold approvals</w:t>
            </w:r>
          </w:p>
        </w:tc>
        <w:tc>
          <w:tcPr>
            <w:tcW w:type="dxa" w:w="2880"/>
          </w:tcPr>
          <w:p>
            <w:r>
              <w:t>Python service module</w:t>
            </w:r>
          </w:p>
        </w:tc>
      </w:tr>
      <w:tr>
        <w:tc>
          <w:tcPr>
            <w:tcW w:type="dxa" w:w="2880"/>
          </w:tcPr>
          <w:p>
            <w:r>
              <w:t>Reporting/export domain</w:t>
            </w:r>
          </w:p>
        </w:tc>
        <w:tc>
          <w:tcPr>
            <w:tcW w:type="dxa" w:w="2880"/>
          </w:tcPr>
          <w:p>
            <w:r>
              <w:t>KPIs, reviewed actuals, CSV and evidence package exports</w:t>
            </w:r>
          </w:p>
        </w:tc>
        <w:tc>
          <w:tcPr>
            <w:tcW w:type="dxa" w:w="2880"/>
          </w:tcPr>
          <w:p>
            <w:r>
              <w:t>Background jobs and SQL views</w:t>
            </w:r>
          </w:p>
        </w:tc>
      </w:tr>
      <w:tr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Transactional store with tenant/site keys and immutable run metadata</w:t>
            </w:r>
          </w:p>
        </w:tc>
        <w:tc>
          <w:tcPr>
            <w:tcW w:type="dxa" w:w="2880"/>
          </w:tcPr>
          <w:p>
            <w:r>
              <w:t>PostgreSQL / managed Supabase</w:t>
            </w:r>
          </w:p>
        </w:tc>
      </w:tr>
      <w:tr>
        <w:tc>
          <w:tcPr>
            <w:tcW w:type="dxa" w:w="2880"/>
          </w:tcPr>
          <w:p>
            <w:r>
              <w:t>Job queue</w:t>
            </w:r>
          </w:p>
        </w:tc>
        <w:tc>
          <w:tcPr>
            <w:tcW w:type="dxa" w:w="2880"/>
          </w:tcPr>
          <w:p>
            <w:r>
              <w:t>Asynchronous imports/reconciliations with retries and dead-letter tracking</w:t>
            </w:r>
          </w:p>
        </w:tc>
        <w:tc>
          <w:tcPr>
            <w:tcW w:type="dxa" w:w="2880"/>
          </w:tcPr>
          <w:p>
            <w:r>
              <w:t>Queue + worker, selected at implementation</w:t>
            </w:r>
          </w:p>
        </w:tc>
      </w:tr>
    </w:tbl>
    <w:p/>
    <w:p>
      <w:pPr>
        <w:pStyle w:val="Heading1"/>
      </w:pPr>
      <w:r>
        <w:t>4. Architecture diagram (logical flow)</w:t>
      </w:r>
    </w:p>
    <w:p>
      <w:r>
        <w:t>Mine operator / finance browser → React UI → FastAPI authenticated API → {Contracts, Evidence, Invoices, Assurance, Case Management, Reporting} → PostgreSQL + Private Object Storage. Background job worker consumes versioned import and reconciliation tasks. External sources feed validated CSV/XLSX now; ERP/Anaplan adapters are phase 2. All writes produce append-only audit events.</w:t>
      </w:r>
    </w:p>
    <w:p>
      <w:pPr>
        <w:pStyle w:val="Heading1"/>
      </w:pPr>
      <w:r>
        <w:t>5. Trust boundaries, deployment and network</w:t>
      </w:r>
    </w:p>
    <w:p>
      <w:pPr>
        <w:pStyle w:val="ListBullet"/>
      </w:pPr>
      <w:r>
        <w:t>Public edge: HTTPS terminates at managed gateway; APIs enforce auth and bounded request sizes; no direct database exposure.</w:t>
      </w:r>
    </w:p>
    <w:p>
      <w:pPr>
        <w:pStyle w:val="ListBullet"/>
      </w:pPr>
      <w:r>
        <w:t>Application: API and worker run with distinct service identities; worker permissions restricted to its job domain.</w:t>
      </w:r>
    </w:p>
    <w:p>
      <w:pPr>
        <w:pStyle w:val="ListBullet"/>
      </w:pPr>
      <w:r>
        <w:t>Data: private PostgreSQL, encrypted backups and private object bucket; signed short-lived file access after policy checks.</w:t>
      </w:r>
    </w:p>
    <w:p>
      <w:pPr>
        <w:pStyle w:val="ListBullet"/>
      </w:pPr>
      <w:r>
        <w:t>Tenancy: tenant_id and site_id mandatory on business records, supported by database RLS where available plus application policy tests.</w:t>
      </w:r>
    </w:p>
    <w:p>
      <w:pPr>
        <w:pStyle w:val="ListBullet"/>
      </w:pPr>
      <w:r>
        <w:t>Admin: MFA, minimal production access, separate staging and production projects, audited privileged actions.</w:t>
      </w:r>
    </w:p>
    <w:p>
      <w:pPr>
        <w:pStyle w:val="ListBullet"/>
      </w:pPr>
      <w:r>
        <w:t>Deployment: managed frontend, containerised FastAPI and worker, managed PostgreSQL/object storage; infrastructure-as-code where practical.</w:t>
      </w:r>
    </w:p>
    <w:p>
      <w:pPr>
        <w:pStyle w:val="Heading1"/>
      </w:pPr>
      <w:r>
        <w:t>6. Domain data model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 / table</w:t>
            </w:r>
          </w:p>
        </w:tc>
        <w:tc>
          <w:tcPr>
            <w:tcW w:type="dxa" w:w="2880"/>
          </w:tcPr>
          <w:p>
            <w:r>
              <w:t>Keys and required relations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organisations, sites, memberships</w:t>
            </w:r>
          </w:p>
        </w:tc>
        <w:tc>
          <w:tcPr>
            <w:tcW w:type="dxa" w:w="2880"/>
          </w:tcPr>
          <w:p>
            <w:r>
              <w:t>org_id; site.org_id; membership.user_id/org_id</w:t>
            </w:r>
          </w:p>
        </w:tc>
        <w:tc>
          <w:tcPr>
            <w:tcW w:type="dxa" w:w="2880"/>
          </w:tcPr>
          <w:p>
            <w:r>
              <w:t>Enforce tenant/site permissions.</w:t>
            </w:r>
          </w:p>
        </w:tc>
      </w:tr>
      <w:tr>
        <w:tc>
          <w:tcPr>
            <w:tcW w:type="dxa" w:w="2880"/>
          </w:tcPr>
          <w:p>
            <w:r>
              <w:t>contractors</w:t>
            </w:r>
          </w:p>
        </w:tc>
        <w:tc>
          <w:tcPr>
            <w:tcW w:type="dxa" w:w="2880"/>
          </w:tcPr>
          <w:p>
            <w:r>
              <w:t>contractor_id, org_id, site assignment</w:t>
            </w:r>
          </w:p>
        </w:tc>
        <w:tc>
          <w:tcPr>
            <w:tcW w:type="dxa" w:w="2880"/>
          </w:tcPr>
          <w:p>
            <w:r>
              <w:t>Supplier identity normalization.</w:t>
            </w:r>
          </w:p>
        </w:tc>
      </w:tr>
      <w:tr>
        <w:tc>
          <w:tcPr>
            <w:tcW w:type="dxa" w:w="2880"/>
          </w:tcPr>
          <w:p>
            <w:r>
              <w:t>contracts, contract_versions</w:t>
            </w:r>
          </w:p>
        </w:tc>
        <w:tc>
          <w:tcPr>
            <w:tcW w:type="dxa" w:w="2880"/>
          </w:tcPr>
          <w:p>
            <w:r>
              <w:t>contract_id; version_id, valid_from/to</w:t>
            </w:r>
          </w:p>
        </w:tc>
        <w:tc>
          <w:tcPr>
            <w:tcW w:type="dxa" w:w="2880"/>
          </w:tcPr>
          <w:p>
            <w:r>
              <w:t>Immutable approved version; draft editing separately.</w:t>
            </w:r>
          </w:p>
        </w:tc>
      </w:tr>
      <w:tr>
        <w:tc>
          <w:tcPr>
            <w:tcW w:type="dxa" w:w="2880"/>
          </w:tcPr>
          <w:p>
            <w:r>
              <w:t>contract_rate_lines, variations</w:t>
            </w:r>
          </w:p>
        </w:tc>
        <w:tc>
          <w:tcPr>
            <w:tcW w:type="dxa" w:w="2880"/>
          </w:tcPr>
          <w:p>
            <w:r>
              <w:t>version_id, work_code, unit, decimal_rate, dates</w:t>
            </w:r>
          </w:p>
        </w:tc>
        <w:tc>
          <w:tcPr>
            <w:tcW w:type="dxa" w:w="2880"/>
          </w:tcPr>
          <w:p>
            <w:r>
              <w:t>Overlap constraints; approved variation references.</w:t>
            </w:r>
          </w:p>
        </w:tc>
      </w:tr>
      <w:tr>
        <w:tc>
          <w:tcPr>
            <w:tcW w:type="dxa" w:w="2880"/>
          </w:tcPr>
          <w:p>
            <w:r>
              <w:t>operational_records, evidence_files</w:t>
            </w:r>
          </w:p>
        </w:tc>
        <w:tc>
          <w:tcPr>
            <w:tcW w:type="dxa" w:w="2880"/>
          </w:tcPr>
          <w:p>
            <w:r>
              <w:t>org/site, contractor, work_code, dates, unit, quantity</w:t>
            </w:r>
          </w:p>
        </w:tc>
        <w:tc>
          <w:tcPr>
            <w:tcW w:type="dxa" w:w="2880"/>
          </w:tcPr>
          <w:p>
            <w:r>
              <w:t>Source checksum, verifier and confidence state.</w:t>
            </w:r>
          </w:p>
        </w:tc>
      </w:tr>
      <w:tr>
        <w:tc>
          <w:tcPr>
            <w:tcW w:type="dxa" w:w="2880"/>
          </w:tcPr>
          <w:p>
            <w:r>
              <w:t>invoices, invoice_lines</w:t>
            </w:r>
          </w:p>
        </w:tc>
        <w:tc>
          <w:tcPr>
            <w:tcW w:type="dxa" w:w="2880"/>
          </w:tcPr>
          <w:p>
            <w:r>
              <w:t>invoice_id, vendor ID, period, amount; line keys</w:t>
            </w:r>
          </w:p>
        </w:tc>
        <w:tc>
          <w:tcPr>
            <w:tcW w:type="dxa" w:w="2880"/>
          </w:tcPr>
          <w:p>
            <w:r>
              <w:t>Tax mode and invoice fingerprint.</w:t>
            </w:r>
          </w:p>
        </w:tc>
      </w:tr>
      <w:tr>
        <w:tc>
          <w:tcPr>
            <w:tcW w:type="dxa" w:w="2880"/>
          </w:tcPr>
          <w:p>
            <w:r>
              <w:t>reconciliation_runs, rule_results</w:t>
            </w:r>
          </w:p>
        </w:tc>
        <w:tc>
          <w:tcPr>
            <w:tcW w:type="dxa" w:w="2880"/>
          </w:tcPr>
          <w:p>
            <w:r>
              <w:t>run_id, input_snapshot_hash, rule_set_version</w:t>
            </w:r>
          </w:p>
        </w:tc>
        <w:tc>
          <w:tcPr>
            <w:tcW w:type="dxa" w:w="2880"/>
          </w:tcPr>
          <w:p>
            <w:r>
              <w:t>Deterministic trace per invoice line.</w:t>
            </w:r>
          </w:p>
        </w:tc>
      </w:tr>
      <w:tr>
        <w:tc>
          <w:tcPr>
            <w:tcW w:type="dxa" w:w="2880"/>
          </w:tcPr>
          <w:p>
            <w:r>
              <w:t>exceptions, review_decisions</w:t>
            </w:r>
          </w:p>
        </w:tc>
        <w:tc>
          <w:tcPr>
            <w:tcW w:type="dxa" w:w="2880"/>
          </w:tcPr>
          <w:p>
            <w:r>
              <w:t>exception ID; state transitions, approver</w:t>
            </w:r>
          </w:p>
        </w:tc>
        <w:tc>
          <w:tcPr>
            <w:tcW w:type="dxa" w:w="2880"/>
          </w:tcPr>
          <w:p>
            <w:r>
              <w:t>Append-only decisions; no in-place history edits.</w:t>
            </w:r>
          </w:p>
        </w:tc>
      </w:tr>
      <w:tr>
        <w:tc>
          <w:tcPr>
            <w:tcW w:type="dxa" w:w="2880"/>
          </w:tcPr>
          <w:p>
            <w:r>
              <w:t>audit_events, export_batches</w:t>
            </w:r>
          </w:p>
        </w:tc>
        <w:tc>
          <w:tcPr>
            <w:tcW w:type="dxa" w:w="2880"/>
          </w:tcPr>
          <w:p>
            <w:r>
              <w:t>actor, action, object, timestamp, correlation ID</w:t>
            </w:r>
          </w:p>
        </w:tc>
        <w:tc>
          <w:tcPr>
            <w:tcW w:type="dxa" w:w="2880"/>
          </w:tcPr>
          <w:p>
            <w:r>
              <w:t>Write-once application log + backup policy.</w:t>
            </w:r>
          </w:p>
        </w:tc>
      </w:tr>
    </w:tbl>
    <w:p/>
    <w:p>
      <w:r>
        <w:t>Amounts: NUMERIC(20, 6) for intermediate rates/quantities (adapt precision to domain), NUMERIC(20, 2) for settled minor-unit USD amounts where appropriate. Store currency ISO code and rounding policies per contract. Temporal data uses UTC timestamps plus site local date/shift boundaries. Do not use floating point for monetary data.</w:t>
      </w:r>
    </w:p>
    <w:p>
      <w:pPr>
        <w:pStyle w:val="Heading1"/>
      </w:pPr>
      <w:r>
        <w:t>7. Ingestion and validation design</w:t>
      </w:r>
    </w:p>
    <w:p>
      <w:pPr>
        <w:pStyle w:val="ListBullet"/>
      </w:pPr>
      <w:r>
        <w:t>Import request creates job with tenant/site identity, mapping version, uploader and idempotency key.</w:t>
      </w:r>
    </w:p>
    <w:p>
      <w:pPr>
        <w:pStyle w:val="ListBullet"/>
      </w:pPr>
      <w:r>
        <w:t>Upload original file to private object storage; record checksum, MIME, byte size and scanning result.</w:t>
      </w:r>
    </w:p>
    <w:p>
      <w:pPr>
        <w:pStyle w:val="ListBullet"/>
      </w:pPr>
      <w:r>
        <w:t>Parse to staging rows. Validate required columns, foreign keys, units, numeric scales, duplicated source IDs, dates and amount consistency.</w:t>
      </w:r>
    </w:p>
    <w:p>
      <w:pPr>
        <w:pStyle w:val="ListBullet"/>
      </w:pPr>
      <w:r>
        <w:t>Present rejected rows and unmapped codes. Only accepted, reviewed batches are committed to the canonical tables.</w:t>
      </w:r>
    </w:p>
    <w:p>
      <w:pPr>
        <w:pStyle w:val="ListBullet"/>
      </w:pPr>
      <w:r>
        <w:t>Operational records require declared source and verifier; unverifiable records remain visible but are not counted as independently supported evidence.</w:t>
      </w:r>
    </w:p>
    <w:p>
      <w:pPr>
        <w:pStyle w:val="ListBullet"/>
      </w:pPr>
      <w:r>
        <w:t>Re-import of the same data is detected by source identity and idempotency constraints, not just filename.</w:t>
      </w:r>
    </w:p>
    <w:p>
      <w:pPr>
        <w:pStyle w:val="Heading1"/>
      </w:pPr>
      <w:r>
        <w:t>8. Reconciliation algorithm and rule lifecycle</w:t>
      </w:r>
    </w:p>
    <w:p>
      <w:r>
        <w:t>Algorithm: (1) freeze invoice lines and evidence references; (2) resolve contractor/work code/period mappings; (3) select approved contract version and variations effective on service date; (4) normalize units; (5) compute contract-supported quantity and rate; (6) execute configured rule set; (7) de-duplicate monetary exposures and produce line result, exceptions and trace; (8) persist immutable run and hashes; (9) route for human review.</w:t>
      </w:r>
    </w:p>
    <w:p>
      <w:r>
        <w:t>Missing evidence is not interpreted as zero delivered work. It yields an “unverified” outcome; monetary support may be undetermined. Where overlapping rule findings exist, overall potential exposure uses a single payable comparator and does not sum duplicate warnings. Tax, retention, standby and escalation are deliberately excluded until models are formally specified.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State / status</w:t>
            </w:r>
          </w:p>
        </w:tc>
        <w:tc>
          <w:tcPr>
            <w:tcW w:type="dxa" w:w="4320"/>
          </w:tcPr>
          <w:p>
            <w:r>
              <w:t>Permitted transition</w:t>
            </w:r>
          </w:p>
        </w:tc>
      </w:tr>
      <w:tr>
        <w:tc>
          <w:tcPr>
            <w:tcW w:type="dxa" w:w="4320"/>
          </w:tcPr>
          <w:p>
            <w:r>
              <w:t>Invoice</w:t>
            </w:r>
          </w:p>
        </w:tc>
        <w:tc>
          <w:tcPr>
            <w:tcW w:type="dxa" w:w="4320"/>
          </w:tcPr>
          <w:p>
            <w:r>
              <w:t>draft → validated → reconciled → under_review → approved_partial/approved_full/disputed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>
              <w:t>open → investigating → resolved_accepted/resolved_adjusted/disputed/closed_no_issue</w:t>
            </w:r>
          </w:p>
        </w:tc>
      </w:tr>
      <w:tr>
        <w:tc>
          <w:tcPr>
            <w:tcW w:type="dxa" w:w="4320"/>
          </w:tcPr>
          <w:p>
            <w:r>
              <w:t>Reconciliation run</w:t>
            </w:r>
          </w:p>
        </w:tc>
        <w:tc>
          <w:tcPr>
            <w:tcW w:type="dxa" w:w="4320"/>
          </w:tcPr>
          <w:p>
            <w:r>
              <w:t>queued → running → completed/failed/superseded</w:t>
            </w:r>
          </w:p>
        </w:tc>
      </w:tr>
      <w:tr>
        <w:tc>
          <w:tcPr>
            <w:tcW w:type="dxa" w:w="4320"/>
          </w:tcPr>
          <w:p>
            <w:r>
              <w:t>Contract version</w:t>
            </w:r>
          </w:p>
        </w:tc>
        <w:tc>
          <w:tcPr>
            <w:tcW w:type="dxa" w:w="4320"/>
          </w:tcPr>
          <w:p>
            <w:r>
              <w:t>draft → pending_approval → approved → superseded/expired</w:t>
            </w:r>
          </w:p>
        </w:tc>
      </w:tr>
    </w:tbl>
    <w:p/>
    <w:p>
      <w:r>
        <w:t>All state transitions require authorisation, optimistic concurrency protection and audit entry. Rerunning after new evidence creates a new run; previous run remains available.</w:t>
      </w:r>
    </w:p>
    <w:p>
      <w:pPr>
        <w:pStyle w:val="Heading1"/>
      </w:pPr>
      <w:r>
        <w:t>9. API surface (indicative REST v1)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 and path</w:t>
            </w:r>
          </w:p>
        </w:tc>
        <w:tc>
          <w:tcPr>
            <w:tcW w:type="dxa" w:w="4320"/>
          </w:tcPr>
          <w:p>
            <w:r>
              <w:t>Use</w:t>
            </w:r>
          </w:p>
        </w:tc>
      </w:tr>
      <w:tr>
        <w:tc>
          <w:tcPr>
            <w:tcW w:type="dxa" w:w="4320"/>
          </w:tcPr>
          <w:p>
            <w:r>
              <w:t>POST /v1/contracts; GET /v1/contracts/{id}</w:t>
            </w:r>
          </w:p>
        </w:tc>
        <w:tc>
          <w:tcPr>
            <w:tcW w:type="dxa" w:w="4320"/>
          </w:tcPr>
          <w:p>
            <w:r>
              <w:t>Create and inspect scoped contracts.</w:t>
            </w:r>
          </w:p>
        </w:tc>
      </w:tr>
      <w:tr>
        <w:tc>
          <w:tcPr>
            <w:tcW w:type="dxa" w:w="4320"/>
          </w:tcPr>
          <w:p>
            <w:r>
              <w:t>POST /v1/contracts/{id}/versions/{versionId}/approve</w:t>
            </w:r>
          </w:p>
        </w:tc>
        <w:tc>
          <w:tcPr>
            <w:tcW w:type="dxa" w:w="4320"/>
          </w:tcPr>
          <w:p>
            <w:r>
              <w:t>Dual-approve effective rate version.</w:t>
            </w:r>
          </w:p>
        </w:tc>
      </w:tr>
      <w:tr>
        <w:tc>
          <w:tcPr>
            <w:tcW w:type="dxa" w:w="4320"/>
          </w:tcPr>
          <w:p>
            <w:r>
              <w:t>POST /v1/imports; GET /v1/imports/{id}</w:t>
            </w:r>
          </w:p>
        </w:tc>
        <w:tc>
          <w:tcPr>
            <w:tcW w:type="dxa" w:w="4320"/>
          </w:tcPr>
          <w:p>
            <w:r>
              <w:t>Initiate and inspect validated data jobs.</w:t>
            </w:r>
          </w:p>
        </w:tc>
      </w:tr>
      <w:tr>
        <w:tc>
          <w:tcPr>
            <w:tcW w:type="dxa" w:w="4320"/>
          </w:tcPr>
          <w:p>
            <w:r>
              <w:t>POST /v1/invoices; GET /v1/invoices/{id}</w:t>
            </w:r>
          </w:p>
        </w:tc>
        <w:tc>
          <w:tcPr>
            <w:tcW w:type="dxa" w:w="4320"/>
          </w:tcPr>
          <w:p>
            <w:r>
              <w:t>Create/read invoice with line evidence.</w:t>
            </w:r>
          </w:p>
        </w:tc>
      </w:tr>
      <w:tr>
        <w:tc>
          <w:tcPr>
            <w:tcW w:type="dxa" w:w="4320"/>
          </w:tcPr>
          <w:p>
            <w:r>
              <w:t>POST /v1/invoices/{id}/reconciliations</w:t>
            </w:r>
          </w:p>
        </w:tc>
        <w:tc>
          <w:tcPr>
            <w:tcW w:type="dxa" w:w="4320"/>
          </w:tcPr>
          <w:p>
            <w:r>
              <w:t>Request idempotent rule execution.</w:t>
            </w:r>
          </w:p>
        </w:tc>
      </w:tr>
      <w:tr>
        <w:tc>
          <w:tcPr>
            <w:tcW w:type="dxa" w:w="4320"/>
          </w:tcPr>
          <w:p>
            <w:r>
              <w:t>GET /v1/reconciliations/{id}/results</w:t>
            </w:r>
          </w:p>
        </w:tc>
        <w:tc>
          <w:tcPr>
            <w:tcW w:type="dxa" w:w="4320"/>
          </w:tcPr>
          <w:p>
            <w:r>
              <w:t>Retrieve findings, provenance and rule traces.</w:t>
            </w:r>
          </w:p>
        </w:tc>
      </w:tr>
      <w:tr>
        <w:tc>
          <w:tcPr>
            <w:tcW w:type="dxa" w:w="4320"/>
          </w:tcPr>
          <w:p>
            <w:r>
              <w:t>PATCH /v1/exceptions/{id}</w:t>
            </w:r>
          </w:p>
        </w:tc>
        <w:tc>
          <w:tcPr>
            <w:tcW w:type="dxa" w:w="4320"/>
          </w:tcPr>
          <w:p>
            <w:r>
              <w:t>Record role-authorised case action with version precondition.</w:t>
            </w:r>
          </w:p>
        </w:tc>
      </w:tr>
      <w:tr>
        <w:tc>
          <w:tcPr>
            <w:tcW w:type="dxa" w:w="4320"/>
          </w:tcPr>
          <w:p>
            <w:r>
              <w:t>POST /v1/exports/approved-costs</w:t>
            </w:r>
          </w:p>
        </w:tc>
        <w:tc>
          <w:tcPr>
            <w:tcW w:type="dxa" w:w="4320"/>
          </w:tcPr>
          <w:p>
            <w:r>
              <w:t>Generate export of reviewed/approved data.</w:t>
            </w:r>
          </w:p>
        </w:tc>
      </w:tr>
      <w:tr>
        <w:tc>
          <w:tcPr>
            <w:tcW w:type="dxa" w:w="4320"/>
          </w:tcPr>
          <w:p>
            <w:r>
              <w:t>GET /v1/audit-events?object_id=...</w:t>
            </w:r>
          </w:p>
        </w:tc>
        <w:tc>
          <w:tcPr>
            <w:tcW w:type="dxa" w:w="4320"/>
          </w:tcPr>
          <w:p>
            <w:r>
              <w:t>Retrieve restricted audit history.</w:t>
            </w:r>
          </w:p>
        </w:tc>
      </w:tr>
    </w:tbl>
    <w:p/>
    <w:p>
      <w:r>
        <w:t>Security controls: OpenAPI schema, scoped authorisation on every endpoint, UUID opaque IDs, restrictive CORS, request/rate limits, validation, pagination, idempotency-key header on mutations, version/ETag handling on approval transitions.</w:t>
      </w:r>
    </w:p>
    <w:p>
      <w:pPr>
        <w:pStyle w:val="Heading1"/>
      </w:pPr>
      <w:r>
        <w:t>10. Roles, threat model and mitigations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Threat</w:t>
            </w:r>
          </w:p>
        </w:tc>
        <w:tc>
          <w:tcPr>
            <w:tcW w:type="dxa" w:w="4320"/>
          </w:tcPr>
          <w:p>
            <w:r>
              <w:t>Control</w:t>
            </w:r>
          </w:p>
        </w:tc>
      </w:tr>
      <w:tr>
        <w:tc>
          <w:tcPr>
            <w:tcW w:type="dxa" w:w="4320"/>
          </w:tcPr>
          <w:p>
            <w:r>
              <w:t>Cross-tenant document or object leak</w:t>
            </w:r>
          </w:p>
        </w:tc>
        <w:tc>
          <w:tcPr>
            <w:tcW w:type="dxa" w:w="4320"/>
          </w:tcPr>
          <w:p>
            <w:r>
              <w:t>RLS + API policy + presigned URL check + isolation tests.</w:t>
            </w:r>
          </w:p>
        </w:tc>
      </w:tr>
      <w:tr>
        <w:tc>
          <w:tcPr>
            <w:tcW w:type="dxa" w:w="4320"/>
          </w:tcPr>
          <w:p>
            <w:r>
              <w:t>Invoice or evidence tampering</w:t>
            </w:r>
          </w:p>
        </w:tc>
        <w:tc>
          <w:tcPr>
            <w:tcW w:type="dxa" w:w="4320"/>
          </w:tcPr>
          <w:p>
            <w:r>
              <w:t>Original object checksum, immutable version references, event audit.</w:t>
            </w:r>
          </w:p>
        </w:tc>
      </w:tr>
      <w:tr>
        <w:tc>
          <w:tcPr>
            <w:tcW w:type="dxa" w:w="4320"/>
          </w:tcPr>
          <w:p>
            <w:r>
              <w:t>Privilege escalation / self-approval</w:t>
            </w:r>
          </w:p>
        </w:tc>
        <w:tc>
          <w:tcPr>
            <w:tcW w:type="dxa" w:w="4320"/>
          </w:tcPr>
          <w:p>
            <w:r>
              <w:t>Fine-grained RBAC, distinct approver and preparer on sensitive approvals.</w:t>
            </w:r>
          </w:p>
        </w:tc>
      </w:tr>
      <w:tr>
        <w:tc>
          <w:tcPr>
            <w:tcW w:type="dxa" w:w="4320"/>
          </w:tcPr>
          <w:p>
            <w:r>
              <w:t>Malicious document uploads</w:t>
            </w:r>
          </w:p>
        </w:tc>
        <w:tc>
          <w:tcPr>
            <w:tcW w:type="dxa" w:w="4320"/>
          </w:tcPr>
          <w:p>
            <w:r>
              <w:t>Content-type checks, size caps, malware scan, isolated parsing workers.</w:t>
            </w:r>
          </w:p>
        </w:tc>
      </w:tr>
      <w:tr>
        <w:tc>
          <w:tcPr>
            <w:tcW w:type="dxa" w:w="4320"/>
          </w:tcPr>
          <w:p>
            <w:r>
              <w:t>Duplicate jobs/payments</w:t>
            </w:r>
          </w:p>
        </w:tc>
        <w:tc>
          <w:tcPr>
            <w:tcW w:type="dxa" w:w="4320"/>
          </w:tcPr>
          <w:p>
            <w:r>
              <w:t>Idempotency keys, unique constraints and manual payment control outside system.</w:t>
            </w:r>
          </w:p>
        </w:tc>
      </w:tr>
      <w:tr>
        <w:tc>
          <w:tcPr>
            <w:tcW w:type="dxa" w:w="4320"/>
          </w:tcPr>
          <w:p>
            <w:r>
              <w:t>Credential theft</w:t>
            </w:r>
          </w:p>
        </w:tc>
        <w:tc>
          <w:tcPr>
            <w:tcW w:type="dxa" w:w="4320"/>
          </w:tcPr>
          <w:p>
            <w:r>
              <w:t>MFA for privileged access, secret manager, rotation and alerting.</w:t>
            </w:r>
          </w:p>
        </w:tc>
      </w:tr>
      <w:tr>
        <w:tc>
          <w:tcPr>
            <w:tcW w:type="dxa" w:w="4320"/>
          </w:tcPr>
          <w:p>
            <w:r>
              <w:t>Uncontrolled integration access</w:t>
            </w:r>
          </w:p>
        </w:tc>
        <w:tc>
          <w:tcPr>
            <w:tcW w:type="dxa" w:w="4320"/>
          </w:tcPr>
          <w:p>
            <w:r>
              <w:t>Least-privilege service accounts, read-only by default, customer approval.</w:t>
            </w:r>
          </w:p>
        </w:tc>
      </w:tr>
      <w:tr>
        <w:tc>
          <w:tcPr>
            <w:tcW w:type="dxa" w:w="4320"/>
          </w:tcPr>
          <w:p>
            <w:r>
              <w:t>Logging private data</w:t>
            </w:r>
          </w:p>
        </w:tc>
        <w:tc>
          <w:tcPr>
            <w:tcW w:type="dxa" w:w="4320"/>
          </w:tcPr>
          <w:p>
            <w:r>
              <w:t>Redact secrets/PII, avoid file content in logs, restrict log retention.</w:t>
            </w:r>
          </w:p>
        </w:tc>
      </w:tr>
    </w:tbl>
    <w:p/>
    <w:p>
      <w:pPr>
        <w:pStyle w:val="Heading1"/>
      </w:pPr>
      <w:r>
        <w:t>11. Reporting, auditability and operational telemetry</w:t>
      </w:r>
    </w:p>
    <w:p>
      <w:r>
        <w:t>Dashboards aggregate only eligible invoice states and reconcile to detail-level totals. Maintain separate financial categories: invoiced; evidence-supported (provisional); reviewer-approved; disputed; unverified; confirmed adjustment/recovery. Never label potential exposure as “savings”. Include denominator, currency, site and reporting window.</w:t>
      </w:r>
    </w:p>
    <w:p>
      <w:r>
        <w:t>Telemetry: job completion/error rate, import validation failures, reconciliation processing time p50/p95, rule precision confirmed in review, backlog by age, permission denials, export history, storage growth and backup/restore success.</w:t>
      </w:r>
    </w:p>
    <w:p>
      <w:pPr>
        <w:pStyle w:val="Heading1"/>
      </w:pPr>
      <w:r>
        <w:t>12. Integration contracts and Anaplan option</w:t>
      </w:r>
    </w:p>
    <w:p>
      <w:r>
        <w:t>MVP: export approved invoice-line actuals as versioned CSV with org/site, contractor, work code, service period, amount, currency, adjustment reason and source IDs. A manual upload to an authorised planning model is the first partner demonstration path. Phase 2 may implement authenticated Anaplan imports via an approved integration account and a documented dimension mapping; no direct integration is assumed.</w:t>
      </w:r>
    </w:p>
    <w:p>
      <w:pPr>
        <w:pStyle w:val="Heading1"/>
      </w:pPr>
      <w:r>
        <w:t>13. Test strategy and acceptance gates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class</w:t>
            </w:r>
          </w:p>
        </w:tc>
        <w:tc>
          <w:tcPr>
            <w:tcW w:type="dxa" w:w="4320"/>
          </w:tcPr>
          <w:p>
            <w:r>
              <w:t>Mandatory tests</w:t>
            </w:r>
          </w:p>
        </w:tc>
      </w:tr>
      <w:tr>
        <w:tc>
          <w:tcPr>
            <w:tcW w:type="dxa" w:w="4320"/>
          </w:tcPr>
          <w:p>
            <w:r>
              <w:t>Unit/golden cases</w:t>
            </w:r>
          </w:p>
        </w:tc>
        <w:tc>
          <w:tcPr>
            <w:tcW w:type="dxa" w:w="4320"/>
          </w:tcPr>
          <w:p>
            <w:r>
              <w:t>Rates, date boundaries, unit conversion, tolerances, contract amendments, decimal rounding.</w:t>
            </w:r>
          </w:p>
        </w:tc>
      </w:tr>
      <w:tr>
        <w:tc>
          <w:tcPr>
            <w:tcW w:type="dxa" w:w="4320"/>
          </w:tcPr>
          <w:p>
            <w:r>
              <w:t>Property-based</w:t>
            </w:r>
          </w:p>
        </w:tc>
        <w:tc>
          <w:tcPr>
            <w:tcW w:type="dxa" w:w="4320"/>
          </w:tcPr>
          <w:p>
            <w:r>
              <w:t>Nonnegative quantities, no duplicated exposure, deterministic re-runs for frozen inputs.</w:t>
            </w:r>
          </w:p>
        </w:tc>
      </w:tr>
      <w:tr>
        <w:tc>
          <w:tcPr>
            <w:tcW w:type="dxa" w:w="4320"/>
          </w:tcPr>
          <w:p>
            <w:r>
              <w:t>Integration</w:t>
            </w:r>
          </w:p>
        </w:tc>
        <w:tc>
          <w:tcPr>
            <w:tcW w:type="dxa" w:w="4320"/>
          </w:tcPr>
          <w:p>
            <w:r>
              <w:t>Staging import, row rejects, object integrity, job retry/idempotency, export totals.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Cross-org and cross-site denial, IDOR, role escalation, self-approval, signed URLs.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Benchmark 1,000 invoice lines/60s on representative deployment; publish actual result.</w:t>
            </w:r>
          </w:p>
        </w:tc>
      </w:tr>
      <w:tr>
        <w:tc>
          <w:tcPr>
            <w:tcW w:type="dxa" w:w="4320"/>
          </w:tcPr>
          <w:p>
            <w:r>
              <w:t>Resilience</w:t>
            </w:r>
          </w:p>
        </w:tc>
        <w:tc>
          <w:tcPr>
            <w:tcW w:type="dxa" w:w="4320"/>
          </w:tcPr>
          <w:p>
            <w:r>
              <w:t>Database backup/restore, worker crash recovery, partial import rollback.</w:t>
            </w:r>
          </w:p>
        </w:tc>
      </w:tr>
      <w:tr>
        <w:tc>
          <w:tcPr>
            <w:tcW w:type="dxa" w:w="4320"/>
          </w:tcPr>
          <w:p>
            <w:r>
              <w:t>UAT</w:t>
            </w:r>
          </w:p>
        </w:tc>
        <w:tc>
          <w:tcPr>
            <w:tcW w:type="dxa" w:w="4320"/>
          </w:tcPr>
          <w:p>
            <w:r>
              <w:t>One complete contract-to-export scenario verified by operations and finance reviewer.</w:t>
            </w:r>
          </w:p>
        </w:tc>
      </w:tr>
    </w:tbl>
    <w:p/>
    <w:p>
      <w:pPr>
        <w:pStyle w:val="Heading1"/>
      </w:pPr>
      <w:r>
        <w:t>14. Delivery plan and ADRs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Outputs</w:t>
            </w:r>
          </w:p>
        </w:tc>
      </w:tr>
      <w:tr>
        <w:tc>
          <w:tcPr>
            <w:tcW w:type="dxa" w:w="4320"/>
          </w:tcPr>
          <w:p>
            <w:r>
              <w:t>1. Weeks 1–2</w:t>
            </w:r>
          </w:p>
        </w:tc>
        <w:tc>
          <w:tcPr>
            <w:tcW w:type="dxa" w:w="4320"/>
          </w:tcPr>
          <w:p>
            <w:r>
              <w:t>Repo scaffolding, schema migrations, authentication/roles, contract and evidence fixtures.</w:t>
            </w:r>
          </w:p>
        </w:tc>
      </w:tr>
      <w:tr>
        <w:tc>
          <w:tcPr>
            <w:tcW w:type="dxa" w:w="4320"/>
          </w:tcPr>
          <w:p>
            <w:r>
              <w:t>2. Weeks 3–4</w:t>
            </w:r>
          </w:p>
        </w:tc>
        <w:tc>
          <w:tcPr>
            <w:tcW w:type="dxa" w:w="4320"/>
          </w:tcPr>
          <w:p>
            <w:r>
              <w:t>File ingestion, invoice data, decimal rule evaluation and golden fixtures.</w:t>
            </w:r>
          </w:p>
        </w:tc>
      </w:tr>
      <w:tr>
        <w:tc>
          <w:tcPr>
            <w:tcW w:type="dxa" w:w="4320"/>
          </w:tcPr>
          <w:p>
            <w:r>
              <w:t>3. Weeks 5–6</w:t>
            </w:r>
          </w:p>
        </w:tc>
        <w:tc>
          <w:tcPr>
            <w:tcW w:type="dxa" w:w="4320"/>
          </w:tcPr>
          <w:p>
            <w:r>
              <w:t>Exception lifecycle, approval workflow, audit trails, reviews and permissions.</w:t>
            </w:r>
          </w:p>
        </w:tc>
      </w:tr>
      <w:tr>
        <w:tc>
          <w:tcPr>
            <w:tcW w:type="dxa" w:w="4320"/>
          </w:tcPr>
          <w:p>
            <w:r>
              <w:t>4. Weeks 7–8</w:t>
            </w:r>
          </w:p>
        </w:tc>
        <w:tc>
          <w:tcPr>
            <w:tcW w:type="dxa" w:w="4320"/>
          </w:tcPr>
          <w:p>
            <w:r>
              <w:t>Dashboard, export, security hardening, observability, demo and pilot UAT.</w:t>
            </w:r>
          </w:p>
        </w:tc>
      </w:tr>
      <w:tr>
        <w:tc>
          <w:tcPr>
            <w:tcW w:type="dxa" w:w="4320"/>
          </w:tcPr>
          <w:p>
            <w:r>
              <w:t>5. Weeks 9–10 optional</w:t>
            </w:r>
          </w:p>
        </w:tc>
        <w:tc>
          <w:tcPr>
            <w:tcW w:type="dxa" w:w="4320"/>
          </w:tcPr>
          <w:p>
            <w:r>
              <w:t>Data mapping and remediation, scale test, restore exercise and deployment gate.</w:t>
            </w:r>
          </w:p>
        </w:tc>
      </w:tr>
    </w:tbl>
    <w:p/>
    <w:p>
      <w:r>
        <w:t>ADR-001 Modular monolith over microservices (small-team operability). ADR-002 PostgreSQL transactional source of truth. ADR-003 Deterministic rules and human adjudication. ADR-004 Immutable reconciliation snapshots. ADR-005 File-based financial export before external write-back. ADR-006 Tenant/site authorisation at application and database layer.</w:t>
      </w:r>
    </w:p>
    <w:p>
      <w:pPr>
        <w:pStyle w:val="Heading1"/>
      </w:pPr>
      <w:r>
        <w:t>15. Open architecture decisions</w:t>
      </w:r>
    </w:p>
    <w:p>
      <w:pPr>
        <w:pStyle w:val="ListBullet"/>
      </w:pPr>
      <w:r>
        <w:t>Select the pilot pricing model (time-based machinery, tonne hauled or drilling metres) and contractual edge cases.</w:t>
      </w:r>
    </w:p>
    <w:p>
      <w:pPr>
        <w:pStyle w:val="ListBullet"/>
      </w:pPr>
      <w:r>
        <w:t>Agree expected source data formats, actual verified source of truth, timezone, currency, and tax treatment.</w:t>
      </w:r>
    </w:p>
    <w:p>
      <w:pPr>
        <w:pStyle w:val="ListBullet"/>
      </w:pPr>
      <w:r>
        <w:t>Choose identity provider and whether clients require SSO, MFA for all users, and geographic hosting restrictions.</w:t>
      </w:r>
    </w:p>
    <w:p>
      <w:pPr>
        <w:pStyle w:val="ListBullet"/>
      </w:pPr>
      <w:r>
        <w:t>Confirm retention periods, third-party data-sharing permissions and partner access model.</w:t>
      </w:r>
    </w:p>
    <w:p>
      <w:pPr>
        <w:pStyle w:val="ListBullet"/>
      </w:pPr>
      <w:r>
        <w:t>Confirm business continuity, availability SLA and RPO/RTO with operator sponsor.</w:t>
      </w:r>
    </w:p>
    <w:p>
      <w:pPr>
        <w:pStyle w:val="ListBullet"/>
      </w:pPr>
      <w:r>
        <w:t>Determine whether 163 Solutions will only model/export data or also resell and support the product.</w:t>
      </w:r>
    </w:p>
    <w:sectPr w:rsidR="00FC693F" w:rsidRPr="0006063C" w:rsidSect="00034616">
      <w:footerReference w:type="default" r:id="rId9"/>
      <w:pgSz w:w="12240" w:h="15840"/>
      <w:pgMar w:top="1080" w:right="1800" w:bottom="1008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Nexus Agronomics  •  MineAssure  •  Confidential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C55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C554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C55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