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Observações da construção do MYSQL da We_Do_Care.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banco de dados armazenará informações para serem estipuladas para o usuário. Informações estas, que serão específicas de cada atributos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tabelas serão: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tabela Categoria armazenará os seguintes dados específicos dela: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Id: number</w:t>
      </w:r>
      <w:r w:rsidDel="00000000" w:rsidR="00000000" w:rsidRPr="00000000">
        <w:rPr>
          <w:rtl w:val="0"/>
        </w:rPr>
        <w:t xml:space="preserve">;  (Será a identificação do produto. O “ID” será a chave primária desta tabela.)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Fornecedor: String; </w:t>
      </w:r>
      <w:r w:rsidDel="00000000" w:rsidR="00000000" w:rsidRPr="00000000">
        <w:rPr>
          <w:rtl w:val="0"/>
        </w:rPr>
        <w:t xml:space="preserve">(Aqui, será estipulado o nome do fornecedor que será terceirizado pela empresa.)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Modelo: String; </w:t>
      </w:r>
      <w:r w:rsidDel="00000000" w:rsidR="00000000" w:rsidRPr="00000000">
        <w:rPr>
          <w:rtl w:val="0"/>
        </w:rPr>
        <w:t xml:space="preserve">(Nesta coluna, será estipulado o modelo do objeto que será oferecido)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 String;</w:t>
      </w:r>
      <w:r w:rsidDel="00000000" w:rsidR="00000000" w:rsidRPr="00000000">
        <w:rPr>
          <w:rtl w:val="0"/>
        </w:rPr>
        <w:t xml:space="preserve"> (Aqui, será especificado o tipo de material de que os produtos são compostos.)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