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E343 Unit 2 — Course Packet</w:t>
      </w:r>
    </w:p>
    <w:p>
      <w:pPr>
        <w:jc w:val="center"/>
      </w:pPr>
      <w:r>
        <w:rPr>
          <w:sz w:val="22"/>
        </w:rPr>
        <w:t>Blank Guided Notes · Weeks 5–8 · Spring 2026</w:t>
      </w:r>
    </w:p>
    <w:p>
      <w:pPr>
        <w:pStyle w:val="Heading2"/>
      </w:pPr>
      <w:r>
        <w:t>Unit #2: Talk Moves, Monitoring, Selecting &amp; Sequencing, Connecting</w:t>
      </w:r>
    </w:p>
    <w:p>
      <w:r>
        <w:t xml:space="preserve">In Unit #2 the focus is on planning our lessons based on the 5 Practices from </w:t>
      </w:r>
      <w:r>
        <w:rPr>
          <w:i/>
        </w:rPr>
        <w:t>Classroom Discussions in Math</w:t>
      </w:r>
      <w:r>
        <w:t>. In Unit #1 we examined the activity we will be doing during our lesson and built our content knowledge around that unit. In Unit #2 we examine the following topics:</w:t>
      </w:r>
    </w:p>
    <w:p>
      <w:pPr>
        <w:pStyle w:val="ListBullet"/>
      </w:pPr>
      <w:r>
        <w:t>Talk Moves (Weeks 5–6)</w:t>
      </w:r>
    </w:p>
    <w:p>
      <w:pPr>
        <w:pStyle w:val="ListBullet"/>
      </w:pPr>
      <w:r>
        <w:t>Monitoring (Practice 3, Week 6)</w:t>
      </w:r>
    </w:p>
    <w:p>
      <w:pPr>
        <w:pStyle w:val="ListBullet"/>
      </w:pPr>
      <w:r>
        <w:t>Selecting &amp; Sequencing (Practices 4 &amp; 5, Week 7)</w:t>
      </w:r>
    </w:p>
    <w:p>
      <w:pPr>
        <w:pStyle w:val="ListBullet"/>
      </w:pPr>
      <w:r>
        <w:t>Connecting (Practice 6, Week 7–8)</w:t>
      </w:r>
    </w:p>
    <w:p>
      <w:pPr>
        <w:pStyle w:val="Heading3"/>
      </w:pPr>
      <w:r>
        <w:t>Assignments</w:t>
      </w:r>
    </w:p>
    <w:p>
      <w:pPr>
        <w:pStyle w:val="ListBullet"/>
      </w:pPr>
      <w:r>
        <w:t>Weekly Check-Ins</w:t>
      </w:r>
    </w:p>
    <w:p>
      <w:pPr>
        <w:pStyle w:val="ListBullet"/>
      </w:pPr>
      <w:r>
        <w:t>Math Content Presentations</w:t>
      </w:r>
    </w:p>
    <w:p>
      <w:pPr>
        <w:pStyle w:val="ListBullet"/>
      </w:pPr>
      <w:r>
        <w:t>Conduct TAI (during field in M301)</w:t>
      </w:r>
    </w:p>
    <w:p>
      <w:pPr>
        <w:pStyle w:val="ListBullet"/>
      </w:pPr>
      <w:r>
        <w:t>TAI Paper</w:t>
      </w:r>
    </w:p>
    <w:p>
      <w:pPr>
        <w:pStyle w:val="ListBullet"/>
      </w:pPr>
      <w:r>
        <w:t>Lesson Plans</w:t>
      </w:r>
    </w:p>
    <w:p/>
    <w:p>
      <w:pPr>
        <w:pStyle w:val="Heading2"/>
      </w:pPr>
      <w:r>
        <w:t>Quick Guide to Talk Moves</w:t>
      </w:r>
    </w:p>
    <w:p>
      <w:pPr>
        <w:pStyle w:val="ListBullet"/>
      </w:pPr>
      <w:r>
        <w:t>(This is a notes page for your reference)</w:t>
      </w:r>
    </w:p>
    <w:p>
      <w:pPr>
        <w:pStyle w:val="Heading3"/>
      </w:pPr>
      <w:r>
        <w:t>What Are Talk Moves?</w:t>
      </w:r>
    </w:p>
    <w:p>
      <w:pPr>
        <w:pStyle w:val="ListBullet"/>
      </w:pPr>
      <w:r>
        <w:t>Talk moves are strategic ways of asking questions and inviting participation in classroom conversations.</w:t>
      </w:r>
    </w:p>
    <w:p>
      <w:pPr>
        <w:pStyle w:val="ListBullet"/>
      </w:pPr>
      <w:r>
        <w:t>The goal is not to increase the amount of talk in class, but to increase the amount of high-quality, productive, mathematics talk, which supports student learning.</w:t>
      </w:r>
    </w:p>
    <w:p>
      <w:pPr>
        <w:pStyle w:val="Heading3"/>
      </w:pPr>
      <w:r>
        <w:t>When Do We Use Talk Moves?</w:t>
      </w:r>
    </w:p>
    <w:p>
      <w:pPr>
        <w:pStyle w:val="ListBullet"/>
      </w:pPr>
      <w:r>
        <w:t>Step 1: Helping individual students clarify and share their own thoughts.</w:t>
      </w:r>
    </w:p>
    <w:p>
      <w:pPr>
        <w:pStyle w:val="ListBullet"/>
      </w:pPr>
      <w:r>
        <w:t>Step 2: Helping students orient to the thinking of others.</w:t>
      </w:r>
    </w:p>
    <w:p>
      <w:pPr>
        <w:pStyle w:val="ListBullet"/>
      </w:pPr>
      <w:r>
        <w:t>Step 3: Helping students deepen their own reasoning.</w:t>
      </w:r>
    </w:p>
    <w:p>
      <w:pPr>
        <w:pStyle w:val="ListBullet"/>
      </w:pPr>
      <w:r>
        <w:t>Step 4: Helping students engage with the reasoning of others.</w:t>
      </w:r>
    </w:p>
    <w:p>
      <w:pPr>
        <w:pStyle w:val="Heading3"/>
      </w:pPr>
      <w:r>
        <w:t>Talk Move Framework</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Wait Time</w:t>
            </w:r>
          </w:p>
        </w:tc>
        <w:tc>
          <w:tcPr>
            <w:tcW w:type="dxa" w:w="864"/>
          </w:tcPr>
          <w:p>
            <w:r>
              <w:t>Stop and Jot</w:t>
            </w:r>
          </w:p>
        </w:tc>
        <w:tc>
          <w:tcPr>
            <w:tcW w:type="dxa" w:w="864"/>
          </w:tcPr>
          <w:p>
            <w:r>
              <w:t>Will you share?</w:t>
            </w:r>
          </w:p>
        </w:tc>
        <w:tc>
          <w:tcPr>
            <w:tcW w:type="dxa" w:w="864"/>
          </w:tcPr>
          <w:p>
            <w:r>
              <w:t>Turn and Talk</w:t>
            </w:r>
          </w:p>
        </w:tc>
        <w:tc>
          <w:tcPr>
            <w:tcW w:type="dxa" w:w="864"/>
          </w:tcPr>
          <w:p>
            <w:r>
              <w:t>Revoicing</w:t>
            </w:r>
          </w:p>
        </w:tc>
        <w:tc>
          <w:tcPr>
            <w:tcW w:type="dxa" w:w="864"/>
          </w:tcPr>
          <w:p>
            <w:r>
              <w:t>Say More</w:t>
            </w:r>
          </w:p>
        </w:tc>
        <w:tc>
          <w:tcPr>
            <w:tcW w:type="dxa" w:w="864"/>
          </w:tcPr>
          <w:p>
            <w:r>
              <w:t>Who Can Repeat?</w:t>
            </w:r>
          </w:p>
        </w:tc>
        <w:tc>
          <w:tcPr>
            <w:tcW w:type="dxa" w:w="864"/>
          </w:tcPr>
          <w:p>
            <w:r>
              <w:t>Press for Reasoning</w:t>
            </w:r>
          </w:p>
        </w:tc>
        <w:tc>
          <w:tcPr>
            <w:tcW w:type="dxa" w:w="864"/>
          </w:tcPr>
          <w:p>
            <w:r>
              <w:t>Agree/Disagree?</w:t>
            </w:r>
          </w:p>
        </w:tc>
        <w:tc>
          <w:tcPr>
            <w:tcW w:type="dxa" w:w="864"/>
          </w:tcPr>
          <w:p>
            <w:r>
              <w:t>Who Can Add On?</w:t>
            </w:r>
          </w:p>
        </w:tc>
      </w:tr>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pPr>
        <w:pStyle w:val="Heading3"/>
      </w:pPr>
      <w:r>
        <w:t>Examples of Two Talk Moves</w:t>
      </w:r>
    </w:p>
    <w:p>
      <w:pPr>
        <w:pStyle w:val="Heading4"/>
      </w:pPr>
      <w:r>
        <w:t>"Who can repeat?" (Step 2 talk move)</w:t>
      </w:r>
    </w:p>
    <w:p>
      <w:r>
        <w:t>Helps students orient to the thinking of others:</w:t>
      </w:r>
    </w:p>
    <w:p>
      <w:pPr>
        <w:pStyle w:val="ListBullet"/>
      </w:pPr>
      <w:r>
        <w:t>Who can say that again?</w:t>
      </w:r>
    </w:p>
    <w:p>
      <w:pPr>
        <w:pStyle w:val="ListBullet"/>
      </w:pPr>
      <w:r>
        <w:t>Who can put that into their own words?</w:t>
      </w:r>
    </w:p>
    <w:p>
      <w:pPr>
        <w:pStyle w:val="ListBullet"/>
      </w:pPr>
      <w:r>
        <w:t>Can anyone repeat what [student's names] said?</w:t>
      </w:r>
    </w:p>
    <w:p>
      <w:pPr>
        <w:pStyle w:val="ListBullet"/>
      </w:pPr>
      <w:r>
        <w:t>After a turn and talk: Tell us what your partner said.</w:t>
      </w:r>
    </w:p>
    <w:p>
      <w:pPr>
        <w:pStyle w:val="Heading4"/>
      </w:pPr>
      <w:r>
        <w:t>Press for Reasoning (Step 3 talk move)</w:t>
      </w:r>
    </w:p>
    <w:p>
      <w:r>
        <w:t>Helps students deepen their own reasoning:</w:t>
      </w:r>
    </w:p>
    <w:p>
      <w:pPr>
        <w:pStyle w:val="ListBullet"/>
      </w:pPr>
      <w:r>
        <w:t>Why do you think that?</w:t>
      </w:r>
    </w:p>
    <w:p>
      <w:pPr>
        <w:pStyle w:val="ListBullet"/>
      </w:pPr>
      <w:r>
        <w:t>What is your evidence?</w:t>
      </w:r>
    </w:p>
    <w:p>
      <w:pPr>
        <w:pStyle w:val="ListBullet"/>
      </w:pPr>
      <w:r>
        <w:t>How did you think that strategy would work?</w:t>
      </w:r>
    </w:p>
    <w:p>
      <w:pPr>
        <w:pStyle w:val="ListBullet"/>
      </w:pPr>
      <w:r>
        <w:t>Where in the text is there support for that claim?</w:t>
      </w:r>
    </w:p>
    <w:p>
      <w:pPr>
        <w:pStyle w:val="ListBullet"/>
      </w:pPr>
      <w:r>
        <w:t>Can you prove that to us?</w:t>
      </w:r>
    </w:p>
    <w:p>
      <w:pPr>
        <w:pStyle w:val="ListBullet"/>
      </w:pPr>
      <w:r>
        <w:t>What makes you think that?</w:t>
      </w:r>
    </w:p>
    <w:p>
      <w:pPr>
        <w:pStyle w:val="ListBullet"/>
      </w:pPr>
      <w:r>
        <w:t>I'm not sure I understand. Can you explain it to me step-by-step?</w:t>
      </w:r>
    </w:p>
    <w:p>
      <w:r>
        <w:rPr>
          <w:i/>
        </w:rPr>
        <w:t xml:space="preserve">For more information, see the readings from </w:t>
      </w:r>
      <w:r>
        <w:rPr>
          <w:b/>
        </w:rPr>
        <w:t>Classroom Discussions in Math</w:t>
      </w:r>
      <w:r>
        <w:t>, by Suzanne H. Chapin, Catherine O'Connor, and Nancy Canavan Anderson.</w:t>
      </w:r>
    </w:p>
    <w:p>
      <w:r>
        <w:br w:type="page"/>
      </w:r>
    </w:p>
    <w:p>
      <w:pPr>
        <w:pStyle w:val="Heading2"/>
      </w:pPr>
      <w:r>
        <w:t>Week 5 — Talk Moves: Steps 1 &amp; 2</w:t>
      </w:r>
    </w:p>
    <w:p>
      <w:pPr>
        <w:pStyle w:val="Heading3"/>
      </w:pPr>
      <w:r>
        <w:t>Day 1</w:t>
      </w:r>
    </w:p>
    <w:p>
      <w:pPr>
        <w:pStyle w:val="Heading4"/>
      </w:pPr>
      <w:r>
        <w:t>Reading from CDM: pp. xv–xviii, pp. 1–21, pp. 49–57</w:t>
      </w:r>
    </w:p>
    <w:p>
      <w:pPr>
        <w:pStyle w:val="Heading4"/>
      </w:pPr>
      <w:r>
        <w:t>What are the 5 reasons that talk is critical to teaching and learning?</w:t>
      </w:r>
    </w:p>
    <w:p/>
    <w:p>
      <w:pPr>
        <w:pStyle w:val="Heading4"/>
      </w:pPr>
      <w:r>
        <w:t>Of the 5, which one stands out to you most? Why?</w:t>
      </w:r>
    </w:p>
    <w:p/>
    <w:p/>
    <w:p>
      <w:pPr>
        <w:pStyle w:val="Heading3"/>
      </w:pPr>
      <w:r>
        <w:t>Step 1 Talk Moves: Helping Students Clarify and Share Their Own Thoughts</w:t>
      </w:r>
    </w:p>
    <w:p>
      <w:r>
        <w:t>Jot some notes about the Step 1 Talk Moves: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Talk Move</w:t>
            </w:r>
          </w:p>
        </w:tc>
        <w:tc>
          <w:tcPr>
            <w:tcW w:type="dxa" w:w="2880"/>
          </w:tcPr>
          <w:p>
            <w:r>
              <w:t>Notes</w:t>
            </w:r>
          </w:p>
        </w:tc>
        <w:tc>
          <w:tcPr>
            <w:tcW w:type="dxa" w:w="2880"/>
          </w:tcPr>
          <w:p>
            <w:r>
              <w:t>Example</w:t>
            </w:r>
          </w:p>
        </w:tc>
      </w:tr>
      <w:tr>
        <w:tc>
          <w:tcPr>
            <w:tcW w:type="dxa" w:w="2880"/>
          </w:tcPr>
          <w:p>
            <w:r>
              <w:t>Wait Time</w:t>
            </w:r>
          </w:p>
        </w:tc>
        <w:tc>
          <w:tcPr>
            <w:tcW w:type="dxa" w:w="2880"/>
          </w:tcPr>
          <w:p/>
        </w:tc>
        <w:tc>
          <w:tcPr>
            <w:tcW w:type="dxa" w:w="2880"/>
          </w:tcPr>
          <w:p/>
        </w:tc>
      </w:tr>
      <w:tr>
        <w:tc>
          <w:tcPr>
            <w:tcW w:type="dxa" w:w="2880"/>
          </w:tcPr>
          <w:p>
            <w:r>
              <w:t>Turn &amp; Talk</w:t>
            </w:r>
          </w:p>
        </w:tc>
        <w:tc>
          <w:tcPr>
            <w:tcW w:type="dxa" w:w="2880"/>
          </w:tcPr>
          <w:p/>
        </w:tc>
        <w:tc>
          <w:tcPr>
            <w:tcW w:type="dxa" w:w="2880"/>
          </w:tcPr>
          <w:p/>
        </w:tc>
      </w:tr>
      <w:tr>
        <w:tc>
          <w:tcPr>
            <w:tcW w:type="dxa" w:w="2880"/>
          </w:tcPr>
          <w:p>
            <w:r>
              <w:t>Revoicing</w:t>
            </w:r>
          </w:p>
        </w:tc>
        <w:tc>
          <w:tcPr>
            <w:tcW w:type="dxa" w:w="2880"/>
          </w:tcPr>
          <w:p/>
        </w:tc>
        <w:tc>
          <w:tcPr>
            <w:tcW w:type="dxa" w:w="2880"/>
          </w:tcPr>
          <w:p/>
        </w:tc>
      </w:tr>
      <w:tr>
        <w:tc>
          <w:tcPr>
            <w:tcW w:type="dxa" w:w="2880"/>
          </w:tcPr>
          <w:p>
            <w:r>
              <w:t>Say More</w:t>
            </w:r>
          </w:p>
        </w:tc>
        <w:tc>
          <w:tcPr>
            <w:tcW w:type="dxa" w:w="2880"/>
          </w:tcPr>
          <w:p/>
        </w:tc>
        <w:tc>
          <w:tcPr>
            <w:tcW w:type="dxa" w:w="2880"/>
          </w:tcPr>
          <w:p/>
        </w:tc>
      </w:tr>
    </w:tbl>
    <w:p>
      <w:pPr>
        <w:pStyle w:val="Heading4"/>
      </w:pPr>
      <w:r>
        <w:t>What is the difference between revoicing and say more?</w:t>
      </w:r>
    </w:p>
    <w:p/>
    <w:p>
      <w:pPr>
        <w:pStyle w:val="Heading4"/>
      </w:pPr>
      <w:r>
        <w:t>Of the four step 1 talk moves, which ones put the responsibility for talking on the students? Which ones put the responsibility for talking on the teacher?</w:t>
      </w:r>
    </w:p>
    <w:p/>
    <w:p>
      <w:pPr>
        <w:pStyle w:val="Heading3"/>
      </w:pPr>
      <w:r>
        <w:t>Day 2</w:t>
      </w:r>
    </w:p>
    <w:p>
      <w:pPr>
        <w:pStyle w:val="Heading4"/>
      </w:pPr>
      <w:r>
        <w:t>Reading from CDM: pp. 21–24, pp. 58–63</w:t>
      </w:r>
    </w:p>
    <w:p>
      <w:pPr>
        <w:pStyle w:val="Heading4"/>
      </w:pPr>
      <w:r>
        <w:t>Step 2 Talk Moves: Helping Students Orient to the Thinking of Others</w:t>
      </w:r>
    </w:p>
    <w:p>
      <w:r>
        <w:t>Jot some notes about the Step 2 Talk Moves: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Talk Move</w:t>
            </w:r>
          </w:p>
        </w:tc>
        <w:tc>
          <w:tcPr>
            <w:tcW w:type="dxa" w:w="2880"/>
          </w:tcPr>
          <w:p>
            <w:r>
              <w:t>Notes</w:t>
            </w:r>
          </w:p>
        </w:tc>
        <w:tc>
          <w:tcPr>
            <w:tcW w:type="dxa" w:w="2880"/>
          </w:tcPr>
          <w:p>
            <w:r>
              <w:t>Example</w:t>
            </w:r>
          </w:p>
        </w:tc>
      </w:tr>
      <w:tr>
        <w:tc>
          <w:tcPr>
            <w:tcW w:type="dxa" w:w="2880"/>
          </w:tcPr>
          <w:p>
            <w:r>
              <w:t>Who Can Repeat?</w:t>
            </w:r>
          </w:p>
        </w:tc>
        <w:tc>
          <w:tcPr>
            <w:tcW w:type="dxa" w:w="2880"/>
          </w:tcPr>
          <w:p/>
        </w:tc>
        <w:tc>
          <w:tcPr>
            <w:tcW w:type="dxa" w:w="2880"/>
          </w:tcPr>
          <w:p/>
        </w:tc>
      </w:tr>
    </w:tbl>
    <w:p>
      <w:pPr>
        <w:pStyle w:val="Heading4"/>
      </w:pPr>
      <w:r>
        <w:t>Which talk move do you feel most comfortable with? Which talk move do you feel least comfortable with?</w:t>
      </w:r>
    </w:p>
    <w:p/>
    <w:p>
      <w:r>
        <w:br w:type="page"/>
      </w:r>
    </w:p>
    <w:p>
      <w:pPr>
        <w:pStyle w:val="Heading2"/>
      </w:pPr>
      <w:r>
        <w:t>Week 6 — Talk Moves: Steps 3 &amp; 4, and Monitoring</w:t>
      </w:r>
    </w:p>
    <w:p>
      <w:pPr>
        <w:pStyle w:val="Heading3"/>
      </w:pPr>
      <w:r>
        <w:t>Day 1</w:t>
      </w:r>
    </w:p>
    <w:p>
      <w:pPr>
        <w:pStyle w:val="Heading4"/>
      </w:pPr>
      <w:r>
        <w:t>Reading from CDM: pp. 21–24, pp. 58–63</w:t>
      </w:r>
    </w:p>
    <w:p>
      <w:pPr>
        <w:pStyle w:val="Heading4"/>
      </w:pPr>
      <w:r>
        <w:t>Step 3 &amp; 4 Talk Moves: Deepening Reasoning and Engaging with Others</w:t>
      </w:r>
    </w:p>
    <w:p>
      <w:r>
        <w:t>Jot some notes about the Step 3 &amp; 4 Talk Moves: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Talk Move</w:t>
            </w:r>
          </w:p>
        </w:tc>
        <w:tc>
          <w:tcPr>
            <w:tcW w:type="dxa" w:w="2880"/>
          </w:tcPr>
          <w:p>
            <w:r>
              <w:t>Notes</w:t>
            </w:r>
          </w:p>
        </w:tc>
        <w:tc>
          <w:tcPr>
            <w:tcW w:type="dxa" w:w="2880"/>
          </w:tcPr>
          <w:p>
            <w:r>
              <w:t>Example</w:t>
            </w:r>
          </w:p>
        </w:tc>
      </w:tr>
      <w:tr>
        <w:tc>
          <w:tcPr>
            <w:tcW w:type="dxa" w:w="2880"/>
          </w:tcPr>
          <w:p>
            <w:r>
              <w:t>Press for Reasoning</w:t>
            </w:r>
          </w:p>
        </w:tc>
        <w:tc>
          <w:tcPr>
            <w:tcW w:type="dxa" w:w="2880"/>
          </w:tcPr>
          <w:p/>
        </w:tc>
        <w:tc>
          <w:tcPr>
            <w:tcW w:type="dxa" w:w="2880"/>
          </w:tcPr>
          <w:p/>
        </w:tc>
      </w:tr>
      <w:tr>
        <w:tc>
          <w:tcPr>
            <w:tcW w:type="dxa" w:w="2880"/>
          </w:tcPr>
          <w:p>
            <w:r>
              <w:t>Do You Agree or Disagree?</w:t>
            </w:r>
          </w:p>
        </w:tc>
        <w:tc>
          <w:tcPr>
            <w:tcW w:type="dxa" w:w="2880"/>
          </w:tcPr>
          <w:p/>
        </w:tc>
        <w:tc>
          <w:tcPr>
            <w:tcW w:type="dxa" w:w="2880"/>
          </w:tcPr>
          <w:p/>
        </w:tc>
      </w:tr>
      <w:tr>
        <w:tc>
          <w:tcPr>
            <w:tcW w:type="dxa" w:w="2880"/>
          </w:tcPr>
          <w:p>
            <w:r>
              <w:t>Who Can Add On?</w:t>
            </w:r>
          </w:p>
        </w:tc>
        <w:tc>
          <w:tcPr>
            <w:tcW w:type="dxa" w:w="2880"/>
          </w:tcPr>
          <w:p/>
        </w:tc>
        <w:tc>
          <w:tcPr>
            <w:tcW w:type="dxa" w:w="2880"/>
          </w:tcPr>
          <w:p/>
        </w:tc>
      </w:tr>
    </w:tbl>
    <w:p>
      <w:pPr>
        <w:pStyle w:val="Heading4"/>
      </w:pPr>
      <w:r>
        <w:t>What's the difference between Press for Reasoning and Who can add on?</w:t>
      </w:r>
    </w:p>
    <w:p/>
    <w:p>
      <w:pPr>
        <w:pStyle w:val="Heading4"/>
      </w:pPr>
      <w:r>
        <w:t>What's the difference between Press for reasoning and say more (from step 1)?</w:t>
      </w:r>
    </w:p>
    <w:p/>
    <w:p>
      <w:pPr>
        <w:pStyle w:val="Heading3"/>
      </w:pPr>
      <w:r>
        <w:t>Day 2</w:t>
      </w:r>
    </w:p>
    <w:p>
      <w:pPr>
        <w:pStyle w:val="Heading4"/>
      </w:pPr>
      <w:r>
        <w:t>Reading from CDM: Chapter 4, pp. 69–84</w:t>
      </w:r>
    </w:p>
    <w:p>
      <w:pPr>
        <w:pStyle w:val="Heading4"/>
      </w:pPr>
      <w:r>
        <w:t>Monitoring: Three Parts</w:t>
      </w:r>
    </w:p>
    <w:p>
      <w:r>
        <w:t>There are three parts to monitoring: tracking student thinking, assessing student thinking, and advancing student thinking. For each of these parts, identify the goal of each and some notes about how to meet each of those goals: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Goal(s)</w:t>
            </w:r>
          </w:p>
        </w:tc>
        <w:tc>
          <w:tcPr>
            <w:tcW w:type="dxa" w:w="2880"/>
          </w:tcPr>
          <w:p>
            <w:r>
              <w:t>Notes</w:t>
            </w:r>
          </w:p>
        </w:tc>
      </w:tr>
      <w:tr>
        <w:tc>
          <w:tcPr>
            <w:tcW w:type="dxa" w:w="2880"/>
          </w:tcPr>
          <w:p>
            <w:r>
              <w:t>Tracking Student Thinking</w:t>
            </w:r>
          </w:p>
        </w:tc>
        <w:tc>
          <w:tcPr>
            <w:tcW w:type="dxa" w:w="2880"/>
          </w:tcPr>
          <w:p/>
        </w:tc>
        <w:tc>
          <w:tcPr>
            <w:tcW w:type="dxa" w:w="2880"/>
          </w:tcPr>
          <w:p/>
        </w:tc>
      </w:tr>
      <w:tr>
        <w:tc>
          <w:tcPr>
            <w:tcW w:type="dxa" w:w="2880"/>
          </w:tcPr>
          <w:p>
            <w:r>
              <w:t>Assessing Student Thinking</w:t>
            </w:r>
          </w:p>
        </w:tc>
        <w:tc>
          <w:tcPr>
            <w:tcW w:type="dxa" w:w="2880"/>
          </w:tcPr>
          <w:p/>
        </w:tc>
        <w:tc>
          <w:tcPr>
            <w:tcW w:type="dxa" w:w="2880"/>
          </w:tcPr>
          <w:p/>
        </w:tc>
      </w:tr>
      <w:tr>
        <w:tc>
          <w:tcPr>
            <w:tcW w:type="dxa" w:w="2880"/>
          </w:tcPr>
          <w:p>
            <w:r>
              <w:t>Advancing Student Thinking</w:t>
            </w:r>
          </w:p>
        </w:tc>
        <w:tc>
          <w:tcPr>
            <w:tcW w:type="dxa" w:w="2880"/>
          </w:tcPr>
          <w:p/>
        </w:tc>
        <w:tc>
          <w:tcPr>
            <w:tcW w:type="dxa" w:w="2880"/>
          </w:tcPr>
          <w:p/>
        </w:tc>
      </w:tr>
    </w:tbl>
    <w:p>
      <w:pPr>
        <w:pStyle w:val="Heading4"/>
      </w:pPr>
      <w:r>
        <w:t>Assessing vs. Advancing Questions</w:t>
      </w:r>
    </w:p>
    <w:p/>
    <w:p>
      <w:r>
        <w:br w:type="page"/>
      </w:r>
    </w:p>
    <w:p>
      <w:pPr>
        <w:pStyle w:val="Heading2"/>
      </w:pPr>
      <w:r>
        <w:t>Week 7 — Selecting &amp; Sequencing, and Connecting</w:t>
      </w:r>
    </w:p>
    <w:p>
      <w:pPr>
        <w:pStyle w:val="Heading3"/>
      </w:pPr>
      <w:r>
        <w:t>Day 1</w:t>
      </w:r>
    </w:p>
    <w:p>
      <w:pPr>
        <w:pStyle w:val="Heading4"/>
      </w:pPr>
      <w:r>
        <w:t>Reading from CDM: Chapter 5, pp. 103–115</w:t>
      </w:r>
    </w:p>
    <w:p>
      <w:pPr>
        <w:pStyle w:val="Heading4"/>
      </w:pPr>
      <w:r>
        <w:t>Selecting &amp; Sequencing: Three Parts</w:t>
      </w:r>
    </w:p>
    <w:p>
      <w:r>
        <w:t>There are three parts to selecting &amp; sequencing: identifying student work to highlight, purposefully selecting individual presenters, and establishing a coherent storyline. For each of these parts, identify the goal of each and some notes about how to meet each of those goals: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Goal(s)</w:t>
            </w:r>
          </w:p>
        </w:tc>
        <w:tc>
          <w:tcPr>
            <w:tcW w:type="dxa" w:w="2880"/>
          </w:tcPr>
          <w:p>
            <w:r>
              <w:t>Notes</w:t>
            </w:r>
          </w:p>
        </w:tc>
      </w:tr>
      <w:tr>
        <w:tc>
          <w:tcPr>
            <w:tcW w:type="dxa" w:w="2880"/>
          </w:tcPr>
          <w:p>
            <w:r>
              <w:t>Identifying Student Work to Highlight</w:t>
            </w:r>
          </w:p>
        </w:tc>
        <w:tc>
          <w:tcPr>
            <w:tcW w:type="dxa" w:w="2880"/>
          </w:tcPr>
          <w:p/>
        </w:tc>
        <w:tc>
          <w:tcPr>
            <w:tcW w:type="dxa" w:w="2880"/>
          </w:tcPr>
          <w:p/>
        </w:tc>
      </w:tr>
      <w:tr>
        <w:tc>
          <w:tcPr>
            <w:tcW w:type="dxa" w:w="2880"/>
          </w:tcPr>
          <w:p>
            <w:r>
              <w:t>Purposefully Selecting Individual Presenters</w:t>
            </w:r>
          </w:p>
        </w:tc>
        <w:tc>
          <w:tcPr>
            <w:tcW w:type="dxa" w:w="2880"/>
          </w:tcPr>
          <w:p/>
        </w:tc>
        <w:tc>
          <w:tcPr>
            <w:tcW w:type="dxa" w:w="2880"/>
          </w:tcPr>
          <w:p/>
        </w:tc>
      </w:tr>
      <w:tr>
        <w:tc>
          <w:tcPr>
            <w:tcW w:type="dxa" w:w="2880"/>
          </w:tcPr>
          <w:p>
            <w:r>
              <w:t>Establishing a Coherent Storyline</w:t>
            </w:r>
          </w:p>
        </w:tc>
        <w:tc>
          <w:tcPr>
            <w:tcW w:type="dxa" w:w="2880"/>
          </w:tcPr>
          <w:p/>
        </w:tc>
        <w:tc>
          <w:tcPr>
            <w:tcW w:type="dxa" w:w="2880"/>
          </w:tcPr>
          <w:p/>
        </w:tc>
      </w:tr>
    </w:tbl>
    <w:p>
      <w:pPr>
        <w:pStyle w:val="Heading4"/>
      </w:pPr>
      <w:r>
        <w:t>What is the difference between selecting and sequencing?</w:t>
      </w:r>
    </w:p>
    <w:p/>
    <w:p>
      <w:pPr>
        <w:pStyle w:val="Heading4"/>
      </w:pPr>
      <w:r>
        <w:t>Think about your lesson:</w:t>
      </w:r>
    </w:p>
    <w:p>
      <w:pPr>
        <w:pStyle w:val="Heading5"/>
      </w:pPr>
      <w:r>
        <w:t>What will you be looking for in student work?</w:t>
      </w:r>
    </w:p>
    <w:p/>
    <w:p>
      <w:pPr>
        <w:pStyle w:val="Heading5"/>
      </w:pPr>
      <w:r>
        <w:t>How will this help you meet your learning goals?</w:t>
      </w:r>
    </w:p>
    <w:p/>
    <w:p>
      <w:pPr>
        <w:pStyle w:val="Heading5"/>
      </w:pPr>
      <w:r>
        <w:t>Think about the students in your classroom:</w:t>
      </w:r>
    </w:p>
    <w:p>
      <w:r>
        <w:t>Are there students that are always ready to share out? Are there students who don't seem to want to share out? How can you support all students being ready to share about their work?</w:t>
      </w:r>
    </w:p>
    <w:p/>
    <w:p>
      <w:pPr>
        <w:pStyle w:val="Heading5"/>
      </w:pPr>
      <w:r>
        <w:t>What storyline can you tell with your anticipated solutions?</w:t>
      </w:r>
    </w:p>
    <w:p/>
    <w:p>
      <w:pPr>
        <w:pStyle w:val="Heading5"/>
      </w:pPr>
      <w:r>
        <w:t>How will a coherent storyline help support your students in meeting the learning goals?</w:t>
      </w:r>
    </w:p>
    <w:p/>
    <w:p>
      <w:pPr>
        <w:pStyle w:val="Heading3"/>
      </w:pPr>
      <w:r>
        <w:t>Day 2</w:t>
      </w:r>
    </w:p>
    <w:p>
      <w:pPr>
        <w:pStyle w:val="Heading4"/>
      </w:pPr>
      <w:r>
        <w:t>Reading from CDM: Chapter 6, pp. 141–152</w:t>
      </w:r>
    </w:p>
    <w:p>
      <w:pPr>
        <w:pStyle w:val="Heading4"/>
      </w:pPr>
      <w:r>
        <w:t>Connecting Student Solutions: Two Parts</w:t>
      </w:r>
    </w:p>
    <w:p>
      <w:r>
        <w:t>There are two parts to connecting student solutions: connecting student work to the goals of the lesson and connecting different solutions to each other. For each of these parts, identify the goal of each and some notes about how to meet each of those goals: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Goal(s)</w:t>
            </w:r>
          </w:p>
        </w:tc>
        <w:tc>
          <w:tcPr>
            <w:tcW w:type="dxa" w:w="2880"/>
          </w:tcPr>
          <w:p>
            <w:r>
              <w:t>Notes</w:t>
            </w:r>
          </w:p>
        </w:tc>
      </w:tr>
      <w:tr>
        <w:tc>
          <w:tcPr>
            <w:tcW w:type="dxa" w:w="2880"/>
          </w:tcPr>
          <w:p>
            <w:r>
              <w:t>Connecting Student Work to the Goals of the Lesson</w:t>
            </w:r>
          </w:p>
        </w:tc>
        <w:tc>
          <w:tcPr>
            <w:tcW w:type="dxa" w:w="2880"/>
          </w:tcPr>
          <w:p/>
        </w:tc>
        <w:tc>
          <w:tcPr>
            <w:tcW w:type="dxa" w:w="2880"/>
          </w:tcPr>
          <w:p/>
        </w:tc>
      </w:tr>
      <w:tr>
        <w:tc>
          <w:tcPr>
            <w:tcW w:type="dxa" w:w="2880"/>
          </w:tcPr>
          <w:p>
            <w:r>
              <w:t>Connecting Different Solutions to Each Other</w:t>
            </w:r>
          </w:p>
        </w:tc>
        <w:tc>
          <w:tcPr>
            <w:tcW w:type="dxa" w:w="2880"/>
          </w:tcPr>
          <w:p/>
        </w:tc>
        <w:tc>
          <w:tcPr>
            <w:tcW w:type="dxa" w:w="2880"/>
          </w:tcPr>
          <w:p/>
        </w:tc>
      </w:tr>
    </w:tbl>
    <w:p>
      <w:pPr>
        <w:pStyle w:val="Heading4"/>
      </w:pPr>
      <w:r>
        <w:t>What are the goals of your lesson that you will be trying to connect student work to?</w:t>
      </w:r>
    </w:p>
    <w:p/>
    <w:p>
      <w:r>
        <w:br w:type="page"/>
      </w:r>
    </w:p>
    <w:p>
      <w:pPr>
        <w:pStyle w:val="Heading2"/>
      </w:pPr>
      <w:r>
        <w:t>Week 8 — Synthesis and Application</w:t>
      </w:r>
    </w:p>
    <w:p>
      <w:pPr>
        <w:pStyle w:val="Heading3"/>
      </w:pPr>
      <w:r>
        <w:t>Demonstration Lesson Reflection</w:t>
      </w:r>
    </w:p>
    <w:p>
      <w:pPr>
        <w:pStyle w:val="Heading4"/>
      </w:pPr>
      <w:r>
        <w:t>Observing and Reflecting on the 5 Practices in Action</w:t>
      </w:r>
    </w:p>
    <w:p>
      <w:pPr>
        <w:pStyle w:val="Heading5"/>
      </w:pPr>
      <w:r>
        <w:t>Did I notice when the launch, explore, summarize took place?</w:t>
      </w:r>
    </w:p>
    <w:p>
      <w:r>
        <w:t>What did I notice about each?</w:t>
      </w:r>
    </w:p>
    <w:p/>
    <w:p>
      <w:r>
        <w:t>What did I wonder about each?</w:t>
      </w:r>
    </w:p>
    <w:p/>
    <w:p>
      <w:pPr>
        <w:pStyle w:val="Heading5"/>
      </w:pPr>
      <w:r>
        <w:t>Did I notice when each of the following practices took place: monitoring, selecting, sequencing, and connecting?</w:t>
      </w:r>
    </w:p>
    <w:p>
      <w:r>
        <w:t>Monitoring — What did I notice about it?</w:t>
      </w:r>
    </w:p>
    <w:p/>
    <w:p>
      <w:r>
        <w:t>Monitoring — What did I wonder about it?</w:t>
      </w:r>
    </w:p>
    <w:p/>
    <w:p>
      <w:r>
        <w:t>Selecting — What did I notice about it?</w:t>
      </w:r>
    </w:p>
    <w:p/>
    <w:p>
      <w:r>
        <w:t>Selecting — What did I wonder about it?</w:t>
      </w:r>
    </w:p>
    <w:p/>
    <w:p>
      <w:r>
        <w:t>Sequencing — What did I notice about it?</w:t>
      </w:r>
    </w:p>
    <w:p/>
    <w:p>
      <w:r>
        <w:t>Sequencing — What did I wonder about it?</w:t>
      </w:r>
    </w:p>
    <w:p/>
    <w:p>
      <w:r>
        <w:t>Connecting — What did I notice about it?</w:t>
      </w:r>
    </w:p>
    <w:p/>
    <w:p>
      <w:r>
        <w:t>Connecting — What did I wonder about it?</w:t>
      </w:r>
    </w:p>
    <w:p/>
    <w:p>
      <w:pPr>
        <w:pStyle w:val="Heading2"/>
      </w:pPr>
      <w:r>
        <w:t>Summary: The 5 Practices in Action</w:t>
      </w:r>
    </w:p>
    <w:p>
      <w:r>
        <w:t>The practices flow together:</w:t>
      </w:r>
    </w:p>
    <w:p>
      <w:pPr>
        <w:pStyle w:val="ListNumber"/>
      </w:pPr>
      <w:r>
        <w:t>Monitoring (Practice 3): Systematically track and assess student thinking to know what ideas are in the room.</w:t>
      </w:r>
    </w:p>
    <w:p>
      <w:pPr>
        <w:pStyle w:val="ListNumber"/>
      </w:pPr>
      <w:r>
        <w:t>Selecting (Practice 4): Choose which ideas to highlight and who will share.</w:t>
      </w:r>
    </w:p>
    <w:p>
      <w:pPr>
        <w:pStyle w:val="ListNumber"/>
      </w:pPr>
      <w:r>
        <w:t>Sequencing (Practice 4): Arrange the selected ideas in a purposeful order.</w:t>
      </w:r>
    </w:p>
    <w:p>
      <w:pPr>
        <w:pStyle w:val="ListNumber"/>
      </w:pPr>
      <w:r>
        <w:t>Connecting (Practice 5): Help students see how the ideas relate to each other and to the big mathematical idea.</w:t>
      </w:r>
    </w:p>
    <w:p>
      <w:pPr>
        <w:pStyle w:val="ListNumber"/>
      </w:pPr>
      <w:r>
        <w:t>Talk Moves: Use strategic talk moves throughout to support clarification, orientation, reasoning, and engagement.</w:t>
      </w:r>
    </w:p>
    <w:p>
      <w:r>
        <w:t>Together, these practices transform classroom discussion from a list of student answers into a coherent, purposeful mathematical narrative that deepens understanding for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