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E343 Unit 2 — Course Packet</w:t>
      </w:r>
    </w:p>
    <w:p>
      <w:pPr>
        <w:jc w:val="center"/>
      </w:pPr>
      <w:r>
        <w:rPr>
          <w:sz w:val="22"/>
        </w:rPr>
        <w:t>Filled-In Guided Notes · Weeks 5–8 · Spring 2026</w:t>
      </w:r>
    </w:p>
    <w:p>
      <w:pPr>
        <w:pStyle w:val="Heading2"/>
      </w:pPr>
      <w:r>
        <w:t>Unit #2: Talk Moves, Monitoring, Selecting &amp; Sequencing, Connecting</w:t>
      </w:r>
    </w:p>
    <w:p>
      <w:r>
        <w:t xml:space="preserve">In Unit #2 the focus is on planning our lessons based on the 5 Practices from </w:t>
      </w:r>
      <w:r>
        <w:rPr>
          <w:i/>
        </w:rPr>
        <w:t>Classroom Discussions in Math</w:t>
      </w:r>
      <w:r>
        <w:t>. In Unit #1 we examined the activity we will be doing during our lesson and built our content knowledge around that unit. In Unit #2 we examine the following topics:</w:t>
      </w:r>
    </w:p>
    <w:p>
      <w:pPr>
        <w:pStyle w:val="ListBullet"/>
      </w:pPr>
      <w:r>
        <w:t>Talk Moves (Weeks 5–6)</w:t>
      </w:r>
    </w:p>
    <w:p>
      <w:pPr>
        <w:pStyle w:val="ListBullet"/>
      </w:pPr>
      <w:r>
        <w:t>Monitoring (Practice 3, Week 6)</w:t>
      </w:r>
    </w:p>
    <w:p>
      <w:pPr>
        <w:pStyle w:val="ListBullet"/>
      </w:pPr>
      <w:r>
        <w:t>Selecting &amp; Sequencing (Practices 4 &amp; 5, Week 7)</w:t>
      </w:r>
    </w:p>
    <w:p>
      <w:pPr>
        <w:pStyle w:val="ListBullet"/>
      </w:pPr>
      <w:r>
        <w:t>Connecting (Practice 6, Week 7–8)</w:t>
      </w:r>
    </w:p>
    <w:p>
      <w:pPr>
        <w:pStyle w:val="Heading3"/>
      </w:pPr>
      <w:r>
        <w:t>Assignments</w:t>
      </w:r>
    </w:p>
    <w:p>
      <w:pPr>
        <w:pStyle w:val="ListBullet"/>
      </w:pPr>
      <w:r>
        <w:t>Weekly Check-Ins</w:t>
      </w:r>
    </w:p>
    <w:p>
      <w:pPr>
        <w:pStyle w:val="ListBullet"/>
      </w:pPr>
      <w:r>
        <w:t>Math Content Presentations</w:t>
      </w:r>
    </w:p>
    <w:p>
      <w:pPr>
        <w:pStyle w:val="ListBullet"/>
      </w:pPr>
      <w:r>
        <w:t>Conduct TAI (during field in M301)</w:t>
      </w:r>
    </w:p>
    <w:p>
      <w:pPr>
        <w:pStyle w:val="ListBullet"/>
      </w:pPr>
      <w:r>
        <w:t>TAI Paper</w:t>
      </w:r>
    </w:p>
    <w:p>
      <w:pPr>
        <w:pStyle w:val="ListBullet"/>
      </w:pPr>
      <w:r>
        <w:t>Lesson Plans</w:t>
      </w:r>
    </w:p>
    <w:p/>
    <w:p>
      <w:pPr>
        <w:pStyle w:val="Heading2"/>
      </w:pPr>
      <w:r>
        <w:t>Quick Guide to Talk Moves</w:t>
      </w:r>
    </w:p>
    <w:p>
      <w:pPr>
        <w:pStyle w:val="ListBullet"/>
      </w:pPr>
      <w:r>
        <w:t>(This is a notes page for your reference)</w:t>
      </w:r>
    </w:p>
    <w:p>
      <w:pPr>
        <w:pStyle w:val="Heading3"/>
      </w:pPr>
      <w:r>
        <w:t>What Are Talk Moves?</w:t>
      </w:r>
    </w:p>
    <w:p>
      <w:pPr>
        <w:pStyle w:val="ListBullet"/>
      </w:pPr>
      <w:r>
        <w:t>Talk moves are strategic ways of asking questions and inviting participation in classroom conversations.</w:t>
      </w:r>
    </w:p>
    <w:p>
      <w:pPr>
        <w:pStyle w:val="ListBullet"/>
      </w:pPr>
      <w:r>
        <w:t>The goal is not to increase the amount of talk in class, but to increase the amount of high-quality, productive, mathematics talk, which supports student learning.</w:t>
      </w:r>
    </w:p>
    <w:p>
      <w:pPr>
        <w:pStyle w:val="Heading3"/>
      </w:pPr>
      <w:r>
        <w:t>When Do We Use Talk Moves?</w:t>
      </w:r>
    </w:p>
    <w:p>
      <w:pPr>
        <w:pStyle w:val="ListBullet"/>
      </w:pPr>
      <w:r>
        <w:t>Step 1: Helping individual students clarify and share their own thoughts.</w:t>
      </w:r>
    </w:p>
    <w:p>
      <w:pPr>
        <w:pStyle w:val="ListBullet"/>
      </w:pPr>
      <w:r>
        <w:t>Step 2: Helping students orient to the thinking of others.</w:t>
      </w:r>
    </w:p>
    <w:p>
      <w:pPr>
        <w:pStyle w:val="ListBullet"/>
      </w:pPr>
      <w:r>
        <w:t>Step 3: Helping students deepen their own reasoning.</w:t>
      </w:r>
    </w:p>
    <w:p>
      <w:pPr>
        <w:pStyle w:val="ListBullet"/>
      </w:pPr>
      <w:r>
        <w:t>Step 4: Helping students engage with the reasoning of others.</w:t>
      </w:r>
    </w:p>
    <w:p>
      <w:pPr>
        <w:pStyle w:val="Heading3"/>
      </w:pPr>
      <w:r>
        <w:t>Talk Move Framework</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Wait Time</w:t>
            </w:r>
          </w:p>
        </w:tc>
        <w:tc>
          <w:tcPr>
            <w:tcW w:type="dxa" w:w="864"/>
          </w:tcPr>
          <w:p>
            <w:r>
              <w:t>Stop and Jot</w:t>
            </w:r>
          </w:p>
        </w:tc>
        <w:tc>
          <w:tcPr>
            <w:tcW w:type="dxa" w:w="864"/>
          </w:tcPr>
          <w:p>
            <w:r>
              <w:t>Will you share?</w:t>
            </w:r>
          </w:p>
        </w:tc>
        <w:tc>
          <w:tcPr>
            <w:tcW w:type="dxa" w:w="864"/>
          </w:tcPr>
          <w:p>
            <w:r>
              <w:t>Turn and Talk</w:t>
            </w:r>
          </w:p>
        </w:tc>
        <w:tc>
          <w:tcPr>
            <w:tcW w:type="dxa" w:w="864"/>
          </w:tcPr>
          <w:p>
            <w:r>
              <w:t>Revoicing</w:t>
            </w:r>
          </w:p>
        </w:tc>
        <w:tc>
          <w:tcPr>
            <w:tcW w:type="dxa" w:w="864"/>
          </w:tcPr>
          <w:p>
            <w:r>
              <w:t>Say More</w:t>
            </w:r>
          </w:p>
        </w:tc>
        <w:tc>
          <w:tcPr>
            <w:tcW w:type="dxa" w:w="864"/>
          </w:tcPr>
          <w:p>
            <w:r>
              <w:t>Who Can Repeat?</w:t>
            </w:r>
          </w:p>
        </w:tc>
        <w:tc>
          <w:tcPr>
            <w:tcW w:type="dxa" w:w="864"/>
          </w:tcPr>
          <w:p>
            <w:r>
              <w:t>Press for Reasoning</w:t>
            </w:r>
          </w:p>
        </w:tc>
        <w:tc>
          <w:tcPr>
            <w:tcW w:type="dxa" w:w="864"/>
          </w:tcPr>
          <w:p>
            <w:r>
              <w:t>Agree/Disagree?</w:t>
            </w:r>
          </w:p>
        </w:tc>
        <w:tc>
          <w:tcPr>
            <w:tcW w:type="dxa" w:w="864"/>
          </w:tcPr>
          <w:p>
            <w:r>
              <w:t>Who Can Add On?</w:t>
            </w:r>
          </w:p>
        </w:tc>
      </w:tr>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pPr>
        <w:pStyle w:val="Heading3"/>
      </w:pPr>
      <w:r>
        <w:t>Examples of Two Talk Moves</w:t>
      </w:r>
    </w:p>
    <w:p>
      <w:pPr>
        <w:pStyle w:val="Heading4"/>
      </w:pPr>
      <w:r>
        <w:t>"Who can repeat?" (Step 2 talk move)</w:t>
      </w:r>
    </w:p>
    <w:p>
      <w:r>
        <w:t>Helps students orient to the thinking of others:</w:t>
      </w:r>
    </w:p>
    <w:p>
      <w:pPr>
        <w:pStyle w:val="ListBullet"/>
      </w:pPr>
      <w:r>
        <w:t>Who can say that again?</w:t>
      </w:r>
    </w:p>
    <w:p>
      <w:pPr>
        <w:pStyle w:val="ListBullet"/>
      </w:pPr>
      <w:r>
        <w:t>Who can put that into their own words?</w:t>
      </w:r>
    </w:p>
    <w:p>
      <w:pPr>
        <w:pStyle w:val="ListBullet"/>
      </w:pPr>
      <w:r>
        <w:t>Can anyone repeat what [student's names] said?</w:t>
      </w:r>
    </w:p>
    <w:p>
      <w:pPr>
        <w:pStyle w:val="ListBullet"/>
      </w:pPr>
      <w:r>
        <w:t>After a turn and talk: Tell us what your partner said.</w:t>
      </w:r>
    </w:p>
    <w:p>
      <w:pPr>
        <w:pStyle w:val="Heading4"/>
      </w:pPr>
      <w:r>
        <w:t>Press for Reasoning (Step 3 talk move)</w:t>
      </w:r>
    </w:p>
    <w:p>
      <w:r>
        <w:t>Helps students deepen their own reasoning:</w:t>
      </w:r>
    </w:p>
    <w:p>
      <w:pPr>
        <w:pStyle w:val="ListBullet"/>
      </w:pPr>
      <w:r>
        <w:t>Why do you think that?</w:t>
      </w:r>
    </w:p>
    <w:p>
      <w:pPr>
        <w:pStyle w:val="ListBullet"/>
      </w:pPr>
      <w:r>
        <w:t>What is your evidence?</w:t>
      </w:r>
    </w:p>
    <w:p>
      <w:pPr>
        <w:pStyle w:val="ListBullet"/>
      </w:pPr>
      <w:r>
        <w:t>How did you think that strategy would work?</w:t>
      </w:r>
    </w:p>
    <w:p>
      <w:pPr>
        <w:pStyle w:val="ListBullet"/>
      </w:pPr>
      <w:r>
        <w:t>Where in the text is there support for that claim?</w:t>
      </w:r>
    </w:p>
    <w:p>
      <w:pPr>
        <w:pStyle w:val="ListBullet"/>
      </w:pPr>
      <w:r>
        <w:t>Can you prove that to us?</w:t>
      </w:r>
    </w:p>
    <w:p>
      <w:pPr>
        <w:pStyle w:val="ListBullet"/>
      </w:pPr>
      <w:r>
        <w:t>What makes you think that?</w:t>
      </w:r>
    </w:p>
    <w:p>
      <w:pPr>
        <w:pStyle w:val="ListBullet"/>
      </w:pPr>
      <w:r>
        <w:t>I'm not sure I understand. Can you explain it to me step-by-step?</w:t>
      </w:r>
    </w:p>
    <w:p>
      <w:r>
        <w:rPr>
          <w:i/>
        </w:rPr>
        <w:t xml:space="preserve">For more information, see the readings from </w:t>
      </w:r>
      <w:r>
        <w:rPr>
          <w:b/>
        </w:rPr>
        <w:t>Classroom Discussions in Math</w:t>
      </w:r>
      <w:r>
        <w:t>, by Suzanne H. Chapin, Catherine O'Connor, and Nancy Canavan Anderson.</w:t>
      </w:r>
    </w:p>
    <w:p>
      <w:r>
        <w:br w:type="page"/>
      </w:r>
    </w:p>
    <w:p>
      <w:pPr>
        <w:pStyle w:val="Heading2"/>
      </w:pPr>
      <w:r>
        <w:t>Week 5 — Talk Moves: Steps 1 &amp; 2</w:t>
      </w:r>
    </w:p>
    <w:p>
      <w:pPr>
        <w:pStyle w:val="Heading3"/>
      </w:pPr>
      <w:r>
        <w:t>Day 1</w:t>
      </w:r>
    </w:p>
    <w:p>
      <w:pPr>
        <w:pStyle w:val="Heading4"/>
      </w:pPr>
      <w:r>
        <w:t>Reading from CDM: pp. xv–xviii, pp. 1–21, pp. 49–57</w:t>
      </w:r>
    </w:p>
    <w:p>
      <w:pPr>
        <w:pStyle w:val="Heading4"/>
      </w:pPr>
      <w:r>
        <w:t>What are the 5 reasons that talk is critical to teaching and learning?</w:t>
      </w:r>
    </w:p>
    <w:p>
      <w:r>
        <w:rPr>
          <w:b/>
          <w:color w:val="4472C4"/>
        </w:rPr>
        <w:t>Generates knowledge — students construct and deepen their own mathematical understanding through articulation.</w:t>
      </w:r>
    </w:p>
    <w:p>
      <w:r>
        <w:rPr>
          <w:b/>
          <w:color w:val="4472C4"/>
        </w:rPr>
        <w:t>Gives access to others' thinking — students hear and learn from peers' strategies, representations, and perspectives.</w:t>
      </w:r>
    </w:p>
    <w:p>
      <w:r>
        <w:rPr>
          <w:b/>
          <w:color w:val="4472C4"/>
        </w:rPr>
        <w:t>Develops language and vocabulary — students practice using mathematical language and symbols in meaningful contexts.</w:t>
      </w:r>
    </w:p>
    <w:p>
      <w:r>
        <w:rPr>
          <w:b/>
          <w:color w:val="4472C4"/>
        </w:rPr>
        <w:t>Develops reasoning habits — students practice explaining, justifying, and critiquing arguments; these become habits of mind.</w:t>
      </w:r>
    </w:p>
    <w:p>
      <w:r>
        <w:rPr>
          <w:b/>
          <w:color w:val="4472C4"/>
        </w:rPr>
        <w:t>Creates a learning community where ideas are valued — students learn that mistakes and diverse approaches are important resources for the classroom.</w:t>
      </w:r>
    </w:p>
    <w:p>
      <w:pPr>
        <w:pStyle w:val="Heading4"/>
      </w:pPr>
      <w:r>
        <w:t>Of the 5, which one stands out to you most? Why?</w:t>
      </w:r>
    </w:p>
    <w:p>
      <w:r>
        <w:rPr>
          <w:b/>
          <w:color w:val="4472C4"/>
        </w:rPr>
        <w:t>Answers will vary. Teachers often resonate with creating community and belonging, developing reasoning habits, or hearing diverse student perspectives. The "why" should reflect personal teaching goals.</w:t>
      </w:r>
    </w:p>
    <w:p/>
    <w:p>
      <w:pPr>
        <w:pStyle w:val="Heading3"/>
      </w:pPr>
      <w:r>
        <w:t>Step 1 Talk Moves: Helping Students Clarify and Share Their Own Thoughts</w:t>
      </w:r>
    </w:p>
    <w:p>
      <w:r>
        <w:t>Jot some notes about the Step 1 Talk Moves: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Talk Move</w:t>
            </w:r>
          </w:p>
        </w:tc>
        <w:tc>
          <w:tcPr>
            <w:tcW w:type="dxa" w:w="2880"/>
          </w:tcPr>
          <w:p>
            <w:r>
              <w:t>Notes</w:t>
            </w:r>
          </w:p>
        </w:tc>
        <w:tc>
          <w:tcPr>
            <w:tcW w:type="dxa" w:w="2880"/>
          </w:tcPr>
          <w:p>
            <w:r>
              <w:t>Example</w:t>
            </w:r>
          </w:p>
        </w:tc>
      </w:tr>
      <w:tr>
        <w:tc>
          <w:tcPr>
            <w:tcW w:type="dxa" w:w="2880"/>
          </w:tcPr>
          <w:p>
            <w:r>
              <w:t>Wait Time</w:t>
            </w:r>
          </w:p>
        </w:tc>
        <w:tc>
          <w:tcPr>
            <w:tcW w:type="dxa" w:w="2880"/>
          </w:tcPr>
          <w:p>
            <w:r>
              <w:rPr>
                <w:b/>
                <w:color w:val="4472C4"/>
              </w:rPr>
              <w:t>Silent pause after asking a question or after a student's response. Gives all students time to think and formulate ideas. Increases participation, especially from slower processors and quieter students.</w:t>
            </w:r>
          </w:p>
        </w:tc>
        <w:tc>
          <w:tcPr>
            <w:tcW w:type="dxa" w:w="2880"/>
          </w:tcPr>
          <w:p>
            <w:r>
              <w:rPr>
                <w:b/>
                <w:color w:val="4472C4"/>
              </w:rPr>
              <w:t>Teacher asks a question, then silently counts to 5 before accepting responses; pauses after a student speaks before moving on.</w:t>
            </w:r>
          </w:p>
        </w:tc>
      </w:tr>
      <w:tr>
        <w:tc>
          <w:tcPr>
            <w:tcW w:type="dxa" w:w="2880"/>
          </w:tcPr>
          <w:p>
            <w:r>
              <w:t>Turn &amp; Talk</w:t>
            </w:r>
          </w:p>
        </w:tc>
        <w:tc>
          <w:tcPr>
            <w:tcW w:type="dxa" w:w="2880"/>
          </w:tcPr>
          <w:p>
            <w:r>
              <w:rPr>
                <w:b/>
                <w:color w:val="4472C4"/>
              </w:rPr>
              <w:t>Students pair up and discuss the prompt with a partner before whole-group sharing. Allows all students to process aloud and prepare to share with confidence.</w:t>
            </w:r>
          </w:p>
        </w:tc>
        <w:tc>
          <w:tcPr>
            <w:tcW w:type="dxa" w:w="2880"/>
          </w:tcPr>
          <w:p>
            <w:r>
              <w:rPr>
                <w:b/>
                <w:color w:val="4472C4"/>
              </w:rPr>
              <w:t>"Turn to your neighbor and talk about how you would solve this problem."</w:t>
            </w:r>
          </w:p>
        </w:tc>
      </w:tr>
      <w:tr>
        <w:tc>
          <w:tcPr>
            <w:tcW w:type="dxa" w:w="2880"/>
          </w:tcPr>
          <w:p>
            <w:r>
              <w:t>Revoicing</w:t>
            </w:r>
          </w:p>
        </w:tc>
        <w:tc>
          <w:tcPr>
            <w:tcW w:type="dxa" w:w="2880"/>
          </w:tcPr>
          <w:p>
            <w:r>
              <w:rPr>
                <w:b/>
                <w:color w:val="4472C4"/>
              </w:rPr>
              <w:t>Teacher restates a student's idea in the teacher's own words. Checks for understanding, shows the student's idea was heard, makes the idea available to the class, clarifies and organizes thinking.</w:t>
            </w:r>
          </w:p>
        </w:tc>
        <w:tc>
          <w:tcPr>
            <w:tcW w:type="dxa" w:w="2880"/>
          </w:tcPr>
          <w:p>
            <w:r>
              <w:rPr>
                <w:b/>
                <w:color w:val="4472C4"/>
              </w:rPr>
              <w:t>Student says "You count by ones," teacher responds: "So you're saying you counted each individual dot one at a time to find the total?"</w:t>
            </w:r>
          </w:p>
        </w:tc>
      </w:tr>
      <w:tr>
        <w:tc>
          <w:tcPr>
            <w:tcW w:type="dxa" w:w="2880"/>
          </w:tcPr>
          <w:p>
            <w:r>
              <w:t>Say More</w:t>
            </w:r>
          </w:p>
        </w:tc>
        <w:tc>
          <w:tcPr>
            <w:tcW w:type="dxa" w:w="2880"/>
          </w:tcPr>
          <w:p>
            <w:r>
              <w:rPr>
                <w:b/>
                <w:color w:val="4472C4"/>
              </w:rPr>
              <w:t>Teacher asks open-ended question for student to elaborate without providing next steps. Puts the responsibility for explanation on the student. Encourages deeper thinking without leading.</w:t>
            </w:r>
          </w:p>
        </w:tc>
        <w:tc>
          <w:tcPr>
            <w:tcW w:type="dxa" w:w="2880"/>
          </w:tcPr>
          <w:p>
            <w:r>
              <w:rPr>
                <w:b/>
                <w:color w:val="4472C4"/>
              </w:rPr>
              <w:t>"Can you say more about that?" or "Tell me more about your thinking."</w:t>
            </w:r>
          </w:p>
        </w:tc>
      </w:tr>
    </w:tbl>
    <w:p>
      <w:pPr>
        <w:pStyle w:val="Heading4"/>
      </w:pPr>
      <w:r>
        <w:t>What is the difference between revoicing and say more?</w:t>
      </w:r>
    </w:p>
    <w:p>
      <w:r>
        <w:rPr>
          <w:b/>
          <w:color w:val="4472C4"/>
        </w:rPr>
        <w:t>Revoicing: Teacher puts words in her own mouth, restating the student idea. This checks for understanding and makes the idea public and organized. The responsibility is on the teacher.</w:t>
      </w:r>
    </w:p>
    <w:p>
      <w:r>
        <w:rPr>
          <w:b/>
          <w:color w:val="4472C4"/>
        </w:rPr>
        <w:t>Say More: Teacher asks an open question without providing the next steps. The responsibility stays on the student to elaborate and articulate.</w:t>
      </w:r>
    </w:p>
    <w:p>
      <w:pPr>
        <w:pStyle w:val="Heading4"/>
      </w:pPr>
      <w:r>
        <w:t>Of the four step 1 talk moves, which ones put the responsibility for talking on the students? Which ones put the responsibility for talking on the teacher?</w:t>
      </w:r>
    </w:p>
    <w:p>
      <w:r>
        <w:rPr>
          <w:b/>
          <w:color w:val="4472C4"/>
        </w:rPr>
        <w:t>Student responsibility: Say More, Turn &amp; Talk (and partially Wait Time, which creates space for student thinking).</w:t>
      </w:r>
    </w:p>
    <w:p>
      <w:r>
        <w:rPr>
          <w:b/>
          <w:color w:val="4472C4"/>
        </w:rPr>
        <w:t>Teacher responsibility: Revoicing (teacher must articulate the idea for the class).</w:t>
      </w:r>
    </w:p>
    <w:p>
      <w:r>
        <w:rPr>
          <w:b/>
          <w:color w:val="4472C4"/>
        </w:rPr>
        <w:t>Note: All four moves shift talk from monologue to dialogue and require teacher orchestration.</w:t>
      </w:r>
    </w:p>
    <w:p>
      <w:pPr>
        <w:pStyle w:val="Heading3"/>
      </w:pPr>
      <w:r>
        <w:t>Day 2</w:t>
      </w:r>
    </w:p>
    <w:p>
      <w:pPr>
        <w:pStyle w:val="Heading4"/>
      </w:pPr>
      <w:r>
        <w:t>Reading from CDM: pp. 21–24, pp. 58–63</w:t>
      </w:r>
    </w:p>
    <w:p>
      <w:pPr>
        <w:pStyle w:val="Heading4"/>
      </w:pPr>
      <w:r>
        <w:t>Step 2 Talk Moves: Helping Students Orient to the Thinking of Others</w:t>
      </w:r>
    </w:p>
    <w:p>
      <w:r>
        <w:t>Jot some notes about the Step 2 Talk Moves: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Talk Move</w:t>
            </w:r>
          </w:p>
        </w:tc>
        <w:tc>
          <w:tcPr>
            <w:tcW w:type="dxa" w:w="2880"/>
          </w:tcPr>
          <w:p>
            <w:r>
              <w:t>Notes</w:t>
            </w:r>
          </w:p>
        </w:tc>
        <w:tc>
          <w:tcPr>
            <w:tcW w:type="dxa" w:w="2880"/>
          </w:tcPr>
          <w:p>
            <w:r>
              <w:t>Example</w:t>
            </w:r>
          </w:p>
        </w:tc>
      </w:tr>
      <w:tr>
        <w:tc>
          <w:tcPr>
            <w:tcW w:type="dxa" w:w="2880"/>
          </w:tcPr>
          <w:p>
            <w:r>
              <w:t>Who Can Repeat?</w:t>
            </w:r>
          </w:p>
        </w:tc>
        <w:tc>
          <w:tcPr>
            <w:tcW w:type="dxa" w:w="2880"/>
          </w:tcPr>
          <w:p>
            <w:r>
              <w:rPr>
                <w:b/>
                <w:color w:val="4472C4"/>
              </w:rPr>
              <w:t>Ask another student to restate or paraphrase what a peer said. Requires active listening, makes multiple voices public, invites peer teaching. Does not require the original student to elaborate further.</w:t>
            </w:r>
          </w:p>
        </w:tc>
        <w:tc>
          <w:tcPr>
            <w:tcW w:type="dxa" w:w="2880"/>
          </w:tcPr>
          <w:p>
            <w:r>
              <w:rPr>
                <w:b/>
                <w:color w:val="4472C4"/>
              </w:rPr>
              <w:t>"Can someone put that in their own words?" or "Who can tell us what Maria said?"</w:t>
            </w:r>
          </w:p>
        </w:tc>
      </w:tr>
    </w:tbl>
    <w:p>
      <w:pPr>
        <w:pStyle w:val="Heading4"/>
      </w:pPr>
      <w:r>
        <w:t>Which talk move do you feel most comfortable with? Which talk move do you feel least comfortable with?</w:t>
      </w:r>
    </w:p>
    <w:p>
      <w:r>
        <w:rPr>
          <w:b/>
          <w:color w:val="4472C4"/>
        </w:rPr>
        <w:t>Answers vary by teacher. Reflections often reveal discomfort with open-ended moves (Say More, Press for Reasoning) due to uncertainty about follow-up. Building comfort takes practice and scripts.</w:t>
      </w:r>
    </w:p>
    <w:p>
      <w:r>
        <w:br w:type="page"/>
      </w:r>
    </w:p>
    <w:p>
      <w:pPr>
        <w:pStyle w:val="Heading2"/>
      </w:pPr>
      <w:r>
        <w:t>Week 6 — Talk Moves: Steps 3 &amp; 4, and Monitoring</w:t>
      </w:r>
    </w:p>
    <w:p>
      <w:pPr>
        <w:pStyle w:val="Heading3"/>
      </w:pPr>
      <w:r>
        <w:t>Day 1</w:t>
      </w:r>
    </w:p>
    <w:p>
      <w:pPr>
        <w:pStyle w:val="Heading4"/>
      </w:pPr>
      <w:r>
        <w:t>Reading from CDM: pp. 21–24, pp. 58–63</w:t>
      </w:r>
    </w:p>
    <w:p>
      <w:pPr>
        <w:pStyle w:val="Heading4"/>
      </w:pPr>
      <w:r>
        <w:t>Step 3 &amp; 4 Talk Moves: Deepening Reasoning and Engaging with Others</w:t>
      </w:r>
    </w:p>
    <w:p>
      <w:r>
        <w:t>Jot some notes about the Step 3 &amp; 4 Talk Moves: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Talk Move</w:t>
            </w:r>
          </w:p>
        </w:tc>
        <w:tc>
          <w:tcPr>
            <w:tcW w:type="dxa" w:w="2880"/>
          </w:tcPr>
          <w:p>
            <w:r>
              <w:t>Notes</w:t>
            </w:r>
          </w:p>
        </w:tc>
        <w:tc>
          <w:tcPr>
            <w:tcW w:type="dxa" w:w="2880"/>
          </w:tcPr>
          <w:p>
            <w:r>
              <w:t>Example</w:t>
            </w:r>
          </w:p>
        </w:tc>
      </w:tr>
      <w:tr>
        <w:tc>
          <w:tcPr>
            <w:tcW w:type="dxa" w:w="2880"/>
          </w:tcPr>
          <w:p>
            <w:r>
              <w:t>Press for Reasoning</w:t>
            </w:r>
          </w:p>
        </w:tc>
        <w:tc>
          <w:tcPr>
            <w:tcW w:type="dxa" w:w="2880"/>
          </w:tcPr>
          <w:p>
            <w:r>
              <w:rPr>
                <w:b/>
                <w:color w:val="4472C4"/>
              </w:rPr>
              <w:t>Teacher asks student to provide justification, evidence, or explanation for their claim. Pushes beyond the initial answer to deeper mathematical thinking. Communicates that reasoning matters.</w:t>
            </w:r>
          </w:p>
        </w:tc>
        <w:tc>
          <w:tcPr>
            <w:tcW w:type="dxa" w:w="2880"/>
          </w:tcPr>
          <w:p>
            <w:r>
              <w:rPr>
                <w:b/>
                <w:color w:val="4472C4"/>
              </w:rPr>
              <w:t>"Why do you think that?" or "What is your evidence?" or "How did you get that?"</w:t>
            </w:r>
          </w:p>
        </w:tc>
      </w:tr>
      <w:tr>
        <w:tc>
          <w:tcPr>
            <w:tcW w:type="dxa" w:w="2880"/>
          </w:tcPr>
          <w:p>
            <w:r>
              <w:t>Do You Agree or Disagree?</w:t>
            </w:r>
          </w:p>
        </w:tc>
        <w:tc>
          <w:tcPr>
            <w:tcW w:type="dxa" w:w="2880"/>
          </w:tcPr>
          <w:p>
            <w:r>
              <w:rPr>
                <w:b/>
                <w:color w:val="4472C4"/>
              </w:rPr>
              <w:t>Students take a stance on a peer's or teacher's claim and must justify their position. Engages students with others' reasoning, promotes critique, can surface misconceptions.</w:t>
            </w:r>
          </w:p>
        </w:tc>
        <w:tc>
          <w:tcPr>
            <w:tcW w:type="dxa" w:w="2880"/>
          </w:tcPr>
          <w:p>
            <w:r>
              <w:rPr>
                <w:b/>
                <w:color w:val="4472C4"/>
              </w:rPr>
              <w:t>"Do you agree or disagree with what Maria said? Why?" Consider using Turn &amp; Talk first to create safety.</w:t>
            </w:r>
          </w:p>
        </w:tc>
      </w:tr>
      <w:tr>
        <w:tc>
          <w:tcPr>
            <w:tcW w:type="dxa" w:w="2880"/>
          </w:tcPr>
          <w:p>
            <w:r>
              <w:t>Who Can Add On?</w:t>
            </w:r>
          </w:p>
        </w:tc>
        <w:tc>
          <w:tcPr>
            <w:tcW w:type="dxa" w:w="2880"/>
          </w:tcPr>
          <w:p>
            <w:r>
              <w:rPr>
                <w:b/>
                <w:color w:val="4472C4"/>
              </w:rPr>
              <w:t>Asks a peer to extend or build on a classmate's reasoning, not just repeat it. Acknowledges the initial idea and pushes for additional insights. Encourages collaborative knowledge building.</w:t>
            </w:r>
          </w:p>
        </w:tc>
        <w:tc>
          <w:tcPr>
            <w:tcW w:type="dxa" w:w="2880"/>
          </w:tcPr>
          <w:p>
            <w:r>
              <w:rPr>
                <w:b/>
                <w:color w:val="4472C4"/>
              </w:rPr>
              <w:t>"Who can add on to what Marcus said?" or "Does anyone want to build on that idea?"</w:t>
            </w:r>
          </w:p>
        </w:tc>
      </w:tr>
    </w:tbl>
    <w:p>
      <w:pPr>
        <w:pStyle w:val="Heading4"/>
      </w:pPr>
      <w:r>
        <w:t>What's the difference between Press for Reasoning and Who can add on?</w:t>
      </w:r>
    </w:p>
    <w:p>
      <w:r>
        <w:rPr>
          <w:b/>
          <w:color w:val="4472C4"/>
        </w:rPr>
        <w:t>Press for Reasoning: Targets an individual student to justify or explain their claim further. Deepens that student's reasoning.</w:t>
      </w:r>
    </w:p>
    <w:p>
      <w:r>
        <w:rPr>
          <w:b/>
          <w:color w:val="4472C4"/>
        </w:rPr>
        <w:t>Who Can Add On: Asks a different student to extend the peer's idea with new insight. Builds collaborative understanding and adds new mathematical contributions.</w:t>
      </w:r>
    </w:p>
    <w:p>
      <w:pPr>
        <w:pStyle w:val="Heading4"/>
      </w:pPr>
      <w:r>
        <w:t>What's the difference between Press for reasoning and say more (from step 1)?</w:t>
      </w:r>
    </w:p>
    <w:p>
      <w:r>
        <w:rPr>
          <w:b/>
          <w:color w:val="4472C4"/>
        </w:rPr>
        <w:t>Say More: Generic request for elaboration. "Tell me more about your thinking." No specific prompt about what type of elaboration is needed.</w:t>
      </w:r>
    </w:p>
    <w:p>
      <w:r>
        <w:rPr>
          <w:b/>
          <w:color w:val="4472C4"/>
        </w:rPr>
        <w:t>Press for Reasoning: Specific request for justification. "Why do you think that?" or "What's your evidence?" Explicitly asks for reasoning, not just more description.</w:t>
      </w:r>
    </w:p>
    <w:p>
      <w:pPr>
        <w:pStyle w:val="Heading3"/>
      </w:pPr>
      <w:r>
        <w:t>Day 2</w:t>
      </w:r>
    </w:p>
    <w:p>
      <w:pPr>
        <w:pStyle w:val="Heading4"/>
      </w:pPr>
      <w:r>
        <w:t>Reading from CDM: Chapter 4, pp. 69–84</w:t>
      </w:r>
    </w:p>
    <w:p>
      <w:pPr>
        <w:pStyle w:val="Heading4"/>
      </w:pPr>
      <w:r>
        <w:t>Monitoring: Three Parts</w:t>
      </w:r>
    </w:p>
    <w:p>
      <w:r>
        <w:t>There are three parts to monitoring: tracking student thinking, assessing student thinking, and advancing student thinking. For each of these parts, identify the goal of each and some notes about how to meet each of those goals: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Goal(s)</w:t>
            </w:r>
          </w:p>
        </w:tc>
        <w:tc>
          <w:tcPr>
            <w:tcW w:type="dxa" w:w="2880"/>
          </w:tcPr>
          <w:p>
            <w:r>
              <w:t>Notes</w:t>
            </w:r>
          </w:p>
        </w:tc>
      </w:tr>
      <w:tr>
        <w:tc>
          <w:tcPr>
            <w:tcW w:type="dxa" w:w="2880"/>
          </w:tcPr>
          <w:p>
            <w:r>
              <w:t>Tracking Student Thinking</w:t>
            </w:r>
          </w:p>
        </w:tc>
        <w:tc>
          <w:tcPr>
            <w:tcW w:type="dxa" w:w="2880"/>
          </w:tcPr>
          <w:p>
            <w:r>
              <w:rPr>
                <w:b/>
                <w:color w:val="4472C4"/>
              </w:rPr>
              <w:t>Collect information about what students are doing, how they're solving, and what strategies they're using.</w:t>
            </w:r>
          </w:p>
        </w:tc>
        <w:tc>
          <w:tcPr>
            <w:tcW w:type="dxa" w:w="2880"/>
          </w:tcPr>
          <w:p>
            <w:r>
              <w:rPr>
                <w:b/>
                <w:color w:val="4472C4"/>
              </w:rPr>
              <w:t>Physically circulate during independent/partner work. Record observations on a monitoring chart with student names, strategies observed, misconceptions noted. Mark who is ready to share, who might need support.</w:t>
            </w:r>
          </w:p>
        </w:tc>
      </w:tr>
      <w:tr>
        <w:tc>
          <w:tcPr>
            <w:tcW w:type="dxa" w:w="2880"/>
          </w:tcPr>
          <w:p>
            <w:r>
              <w:t>Assessing Student Thinking</w:t>
            </w:r>
          </w:p>
        </w:tc>
        <w:tc>
          <w:tcPr>
            <w:tcW w:type="dxa" w:w="2880"/>
          </w:tcPr>
          <w:p>
            <w:r>
              <w:rPr>
                <w:b/>
                <w:color w:val="4472C4"/>
              </w:rPr>
              <w:t>Determine what a student understands and doesn't understand about the mathematics.</w:t>
            </w:r>
          </w:p>
        </w:tc>
        <w:tc>
          <w:tcPr>
            <w:tcW w:type="dxa" w:w="2880"/>
          </w:tcPr>
          <w:p>
            <w:r>
              <w:rPr>
                <w:b/>
                <w:color w:val="4472C4"/>
              </w:rPr>
              <w:t>Ask open-ended assessing questions: "Tell me what you did here," "How did you get that number?" Listen more than you talk. Ask follow-up questions to clarify understanding. Do not lead or correct.</w:t>
            </w:r>
          </w:p>
        </w:tc>
      </w:tr>
      <w:tr>
        <w:tc>
          <w:tcPr>
            <w:tcW w:type="dxa" w:w="2880"/>
          </w:tcPr>
          <w:p>
            <w:r>
              <w:t>Advancing Student Thinking</w:t>
            </w:r>
          </w:p>
        </w:tc>
        <w:tc>
          <w:tcPr>
            <w:tcW w:type="dxa" w:w="2880"/>
          </w:tcPr>
          <w:p>
            <w:r>
              <w:rPr>
                <w:b/>
                <w:color w:val="4472C4"/>
              </w:rPr>
              <w:t>Push student thinking forward toward the lesson's mathematical goals.</w:t>
            </w:r>
          </w:p>
        </w:tc>
        <w:tc>
          <w:tcPr>
            <w:tcW w:type="dxa" w:w="2880"/>
          </w:tcPr>
          <w:p>
            <w:r>
              <w:rPr>
                <w:b/>
                <w:color w:val="4472C4"/>
              </w:rPr>
              <w:t>Ask advancing questions: "What if the numbers were different?" "Can you connect this to what we did yesterday?" "Can you show me with a picture?" These questions nudge students toward deeper understanding without telling them the answer.</w:t>
            </w:r>
          </w:p>
        </w:tc>
      </w:tr>
    </w:tbl>
    <w:p>
      <w:pPr>
        <w:pStyle w:val="Heading4"/>
      </w:pPr>
      <w:r>
        <w:t>Assessing vs. Advancing Questions</w:t>
      </w:r>
    </w:p>
    <w:p>
      <w:r>
        <w:rPr>
          <w:b/>
          <w:color w:val="4472C4"/>
        </w:rPr>
        <w:t>Main difference: Assessing questions help you understand where a student IS in their thinking (diagnostic). Advancing questions help push a student toward where they NEED to be (instructional).</w:t>
      </w:r>
    </w:p>
    <w:p>
      <w:r>
        <w:rPr>
          <w:b/>
          <w:color w:val="4472C4"/>
        </w:rPr>
        <w:t>Assessing questions: "Tell me what you did," "How did you get that?" — open, non-leading, help diagnosis.</w:t>
      </w:r>
    </w:p>
    <w:p>
      <w:r>
        <w:rPr>
          <w:b/>
          <w:color w:val="4472C4"/>
        </w:rPr>
        <w:t>Advancing questions: "What if the numbers were larger?" "Can you show this a different way?" — nudge thinking forward toward goals.</w:t>
      </w:r>
    </w:p>
    <w:p>
      <w:r>
        <w:br w:type="page"/>
      </w:r>
    </w:p>
    <w:p>
      <w:pPr>
        <w:pStyle w:val="Heading2"/>
      </w:pPr>
      <w:r>
        <w:t>Week 7 — Selecting &amp; Sequencing, and Connecting</w:t>
      </w:r>
    </w:p>
    <w:p>
      <w:pPr>
        <w:pStyle w:val="Heading3"/>
      </w:pPr>
      <w:r>
        <w:t>Day 1</w:t>
      </w:r>
    </w:p>
    <w:p>
      <w:pPr>
        <w:pStyle w:val="Heading4"/>
      </w:pPr>
      <w:r>
        <w:t>Reading from CDM: Chapter 5, pp. 103–115</w:t>
      </w:r>
    </w:p>
    <w:p>
      <w:pPr>
        <w:pStyle w:val="Heading4"/>
      </w:pPr>
      <w:r>
        <w:t>Selecting &amp; Sequencing: Three Parts</w:t>
      </w:r>
    </w:p>
    <w:p>
      <w:r>
        <w:t>There are three parts to selecting &amp; sequencing: identifying student work to highlight, purposefully selecting individual presenters, and establishing a coherent storyline. For each of these parts, identify the goal of each and some notes about how to meet each of those goals: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Goal(s)</w:t>
            </w:r>
          </w:p>
        </w:tc>
        <w:tc>
          <w:tcPr>
            <w:tcW w:type="dxa" w:w="2880"/>
          </w:tcPr>
          <w:p>
            <w:r>
              <w:t>Notes</w:t>
            </w:r>
          </w:p>
        </w:tc>
      </w:tr>
      <w:tr>
        <w:tc>
          <w:tcPr>
            <w:tcW w:type="dxa" w:w="2880"/>
          </w:tcPr>
          <w:p>
            <w:r>
              <w:t>Identifying Student Work to Highlight</w:t>
            </w:r>
          </w:p>
        </w:tc>
        <w:tc>
          <w:tcPr>
            <w:tcW w:type="dxa" w:w="2880"/>
          </w:tcPr>
          <w:p>
            <w:r>
              <w:rPr>
                <w:b/>
                <w:color w:val="4472C4"/>
              </w:rPr>
              <w:t>Choose which student work to feature in the whole-group discussion.</w:t>
            </w:r>
          </w:p>
        </w:tc>
        <w:tc>
          <w:tcPr>
            <w:tcW w:type="dxa" w:w="2880"/>
          </w:tcPr>
          <w:p>
            <w:r>
              <w:rPr>
                <w:b/>
                <w:color w:val="4472C4"/>
              </w:rPr>
              <w:t>Look for: variety of strategies (concrete to abstract, less to more sophisticated), common misconceptions worth discussing, approaches that build toward learning goals. Select 3–4 samples that collectively tell an important mathematical story.</w:t>
            </w:r>
          </w:p>
        </w:tc>
      </w:tr>
      <w:tr>
        <w:tc>
          <w:tcPr>
            <w:tcW w:type="dxa" w:w="2880"/>
          </w:tcPr>
          <w:p>
            <w:r>
              <w:t>Purposefully Selecting Individual Presenters</w:t>
            </w:r>
          </w:p>
        </w:tc>
        <w:tc>
          <w:tcPr>
            <w:tcW w:type="dxa" w:w="2880"/>
          </w:tcPr>
          <w:p>
            <w:r>
              <w:rPr>
                <w:b/>
                <w:color w:val="4472C4"/>
              </w:rPr>
              <w:t>Choose which student will share each selected piece of work.</w:t>
            </w:r>
          </w:p>
        </w:tc>
        <w:tc>
          <w:tcPr>
            <w:tcW w:type="dxa" w:w="2880"/>
          </w:tcPr>
          <w:p>
            <w:r>
              <w:rPr>
                <w:b/>
                <w:color w:val="4472C4"/>
              </w:rPr>
              <w:t>Consider student confidence, communication skills, prior experience sharing, and equity. Pre-alert students who may be shy. Support all students in feeling ready. Vary who gets to share.</w:t>
            </w:r>
          </w:p>
        </w:tc>
      </w:tr>
      <w:tr>
        <w:tc>
          <w:tcPr>
            <w:tcW w:type="dxa" w:w="2880"/>
          </w:tcPr>
          <w:p>
            <w:r>
              <w:t>Establishing a Coherent Storyline</w:t>
            </w:r>
          </w:p>
        </w:tc>
        <w:tc>
          <w:tcPr>
            <w:tcW w:type="dxa" w:w="2880"/>
          </w:tcPr>
          <w:p>
            <w:r>
              <w:rPr>
                <w:b/>
                <w:color w:val="4472C4"/>
              </w:rPr>
              <w:t>Sequence the selected work in a purposeful order that builds understanding toward the lesson goal.</w:t>
            </w:r>
          </w:p>
        </w:tc>
        <w:tc>
          <w:tcPr>
            <w:tcW w:type="dxa" w:w="2880"/>
          </w:tcPr>
          <w:p>
            <w:r>
              <w:rPr>
                <w:b/>
                <w:color w:val="4472C4"/>
              </w:rPr>
              <w:t>Order by: concrete to abstract, least to most sophisticated, address misconception then show correct reasoning. The sequence should flow logically and highlight mathematical connections.</w:t>
            </w:r>
          </w:p>
        </w:tc>
      </w:tr>
    </w:tbl>
    <w:p>
      <w:pPr>
        <w:pStyle w:val="Heading4"/>
      </w:pPr>
      <w:r>
        <w:t>What is the difference between selecting and sequencing?</w:t>
      </w:r>
    </w:p>
    <w:p>
      <w:r>
        <w:rPr>
          <w:b/>
          <w:color w:val="4472C4"/>
        </w:rPr>
        <w:t>Selecting: Choosing WHICH pieces of student work to highlight (3–4 out of 20+).</w:t>
      </w:r>
    </w:p>
    <w:p>
      <w:r>
        <w:rPr>
          <w:b/>
          <w:color w:val="4472C4"/>
        </w:rPr>
        <w:t>Sequencing: Choosing the ORDER in which to present the selected work. Both practices shape the mathematical narrative of the discussion.</w:t>
      </w:r>
    </w:p>
    <w:p>
      <w:pPr>
        <w:pStyle w:val="Heading4"/>
      </w:pPr>
      <w:r>
        <w:t>Think about your lesson:</w:t>
      </w:r>
    </w:p>
    <w:p>
      <w:pPr>
        <w:pStyle w:val="Heading5"/>
      </w:pPr>
      <w:r>
        <w:t>What will you be looking for in student work?</w:t>
      </w:r>
    </w:p>
    <w:p>
      <w:r>
        <w:rPr>
          <w:b/>
          <w:color w:val="4472C4"/>
        </w:rPr>
        <w:t>Look for evidence of strategy use, representation choices, misconceptions, computational accuracy, and conceptual understanding of the target mathematical idea.</w:t>
      </w:r>
    </w:p>
    <w:p>
      <w:pPr>
        <w:pStyle w:val="Heading5"/>
      </w:pPr>
      <w:r>
        <w:t>How will this help you meet your learning goals?</w:t>
      </w:r>
    </w:p>
    <w:p>
      <w:r>
        <w:rPr>
          <w:b/>
          <w:color w:val="4472C4"/>
        </w:rPr>
        <w:t>By intentionally selecting work that shows the progression from intuitive strategies toward standard algorithms (or target concept), the discussion will scaffold all students' thinking and reveal the mathematical relationships you want them to see.</w:t>
      </w:r>
    </w:p>
    <w:p>
      <w:pPr>
        <w:pStyle w:val="Heading5"/>
      </w:pPr>
      <w:r>
        <w:t>Think about the students in your classroom:</w:t>
      </w:r>
    </w:p>
    <w:p>
      <w:r>
        <w:t>Are there students that are always ready to share out? Are there students who don't seem to want to share out? How can you support all students being ready to share about their work?</w:t>
      </w:r>
    </w:p>
    <w:p>
      <w:r>
        <w:rPr>
          <w:b/>
          <w:color w:val="4472C4"/>
        </w:rPr>
        <w:t>Yes. Support by: pre-selecting and pre-alerting confident presenters so they feel prepared; offering to paraphrase or co-present for shy students; explicitly valuing mistakes and process (not just answers); providing written prompts; using turn-and-talk before whole-group sharing; rotating presenters to build confidence; celebrating diverse approaches.</w:t>
      </w:r>
    </w:p>
    <w:p>
      <w:pPr>
        <w:pStyle w:val="Heading5"/>
      </w:pPr>
      <w:r>
        <w:t>What storyline can you tell with your anticipated solutions?</w:t>
      </w:r>
    </w:p>
    <w:p>
      <w:r>
        <w:rPr>
          <w:b/>
          <w:color w:val="4472C4"/>
        </w:rPr>
        <w:t>Example: A storyline about addition might move from counting-on, to counting all, to tens-and-ones decomposition, to understanding of place value and regrouping. Each solution shows a step in the conceptual journey.</w:t>
      </w:r>
    </w:p>
    <w:p>
      <w:pPr>
        <w:pStyle w:val="Heading5"/>
      </w:pPr>
      <w:r>
        <w:t>How will a coherent storyline help support your students in meeting the learning goals?</w:t>
      </w:r>
    </w:p>
    <w:p>
      <w:r>
        <w:rPr>
          <w:b/>
          <w:color w:val="4472C4"/>
        </w:rPr>
        <w:t>A coherent storyline provides scaffolding. Students see diverse approaches but in a logical progression. This helps them understand that there are many ways to solve, but also that some are more efficient or revealing of underlying mathematical structure. It validates diverse entry points while guiding everyone toward deeper understanding.</w:t>
      </w:r>
    </w:p>
    <w:p>
      <w:pPr>
        <w:pStyle w:val="Heading3"/>
      </w:pPr>
      <w:r>
        <w:t>Day 2</w:t>
      </w:r>
    </w:p>
    <w:p>
      <w:pPr>
        <w:pStyle w:val="Heading4"/>
      </w:pPr>
      <w:r>
        <w:t>Reading from CDM: Chapter 6, pp. 141–152</w:t>
      </w:r>
    </w:p>
    <w:p>
      <w:pPr>
        <w:pStyle w:val="Heading4"/>
      </w:pPr>
      <w:r>
        <w:t>Connecting Student Solutions: Two Parts</w:t>
      </w:r>
    </w:p>
    <w:p>
      <w:r>
        <w:t>There are two parts to connecting student solutions: connecting student work to the goals of the lesson and connecting different solutions to each other. For each of these parts, identify the goal of each and some notes about how to meet each of those goals: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Goal(s)</w:t>
            </w:r>
          </w:p>
        </w:tc>
        <w:tc>
          <w:tcPr>
            <w:tcW w:type="dxa" w:w="2880"/>
          </w:tcPr>
          <w:p>
            <w:r>
              <w:t>Notes</w:t>
            </w:r>
          </w:p>
        </w:tc>
      </w:tr>
      <w:tr>
        <w:tc>
          <w:tcPr>
            <w:tcW w:type="dxa" w:w="2880"/>
          </w:tcPr>
          <w:p>
            <w:r>
              <w:t>Connecting Student Work to the Goals of the Lesson</w:t>
            </w:r>
          </w:p>
        </w:tc>
        <w:tc>
          <w:tcPr>
            <w:tcW w:type="dxa" w:w="2880"/>
          </w:tcPr>
          <w:p>
            <w:r>
              <w:rPr>
                <w:b/>
                <w:color w:val="4472C4"/>
              </w:rPr>
              <w:t>Make explicit links between what students did and the mathematical concept or skill you want them to understand.</w:t>
            </w:r>
          </w:p>
        </w:tc>
        <w:tc>
          <w:tcPr>
            <w:tcW w:type="dxa" w:w="2880"/>
          </w:tcPr>
          <w:p>
            <w:r>
              <w:rPr>
                <w:b/>
                <w:color w:val="4472C4"/>
              </w:rPr>
              <w:t>Use direct statements: "Notice how Keisha decomposed the tens—that's exactly the strategy mathematicians use when..." or "This picture shows the tens place because..." Label and name the mathematical idea at work in each solution.</w:t>
            </w:r>
          </w:p>
        </w:tc>
      </w:tr>
      <w:tr>
        <w:tc>
          <w:tcPr>
            <w:tcW w:type="dxa" w:w="2880"/>
          </w:tcPr>
          <w:p>
            <w:r>
              <w:t>Connecting Different Solutions to Each Other</w:t>
            </w:r>
          </w:p>
        </w:tc>
        <w:tc>
          <w:tcPr>
            <w:tcW w:type="dxa" w:w="2880"/>
          </w:tcPr>
          <w:p>
            <w:r>
              <w:rPr>
                <w:b/>
                <w:color w:val="4472C4"/>
              </w:rPr>
              <w:t>Help students see relationships, similarities, and differences across multiple strategies and representations.</w:t>
            </w:r>
          </w:p>
        </w:tc>
        <w:tc>
          <w:tcPr>
            <w:tcW w:type="dxa" w:w="2880"/>
          </w:tcPr>
          <w:p>
            <w:r>
              <w:rPr>
                <w:b/>
                <w:color w:val="4472C4"/>
              </w:rPr>
              <w:t>Ask comparison questions: "How is Marcus's way similar to Yuki's?" "What's the same math happening in both pictures?" "Where do you see 'tens and ones' in each approach?" Build bridges between concrete and abstract, or between two abstract representations.</w:t>
            </w:r>
          </w:p>
        </w:tc>
      </w:tr>
    </w:tbl>
    <w:p>
      <w:pPr>
        <w:pStyle w:val="Heading4"/>
      </w:pPr>
      <w:r>
        <w:t>What are the goals of your lesson that you will be trying to connect student work to?</w:t>
      </w:r>
    </w:p>
    <w:p>
      <w:r>
        <w:rPr>
          <w:b/>
          <w:color w:val="4472C4"/>
        </w:rPr>
        <w:t>Examples: Understanding place value, learning a standard algorithm, seeing multiplication as area, understanding the distributive property, recognizing equivalent fractions. Write the specific mathematical concepts or skills you want students to understand by the end of the lesson.</w:t>
      </w:r>
    </w:p>
    <w:p>
      <w:r>
        <w:br w:type="page"/>
      </w:r>
    </w:p>
    <w:p>
      <w:pPr>
        <w:pStyle w:val="Heading2"/>
      </w:pPr>
      <w:r>
        <w:t>Week 8 — Synthesis and Application</w:t>
      </w:r>
    </w:p>
    <w:p>
      <w:pPr>
        <w:pStyle w:val="Heading3"/>
      </w:pPr>
      <w:r>
        <w:t>Demonstration Lesson Reflection</w:t>
      </w:r>
    </w:p>
    <w:p>
      <w:pPr>
        <w:pStyle w:val="Heading4"/>
      </w:pPr>
      <w:r>
        <w:t>Observing and Reflecting on the 5 Practices in Action</w:t>
      </w:r>
    </w:p>
    <w:p>
      <w:pPr>
        <w:pStyle w:val="Heading5"/>
      </w:pPr>
      <w:r>
        <w:t>Did I notice when the launch, explore, summarize took place?</w:t>
      </w:r>
    </w:p>
    <w:p>
      <w:pPr>
        <w:pStyle w:val="ListNumber"/>
      </w:pPr>
      <w:r>
        <w:t>What did I notice about each?</w:t>
      </w:r>
    </w:p>
    <w:p>
      <w:r>
        <w:rPr>
          <w:b/>
          <w:color w:val="4472C4"/>
        </w:rPr>
        <w:t>Launch: Clear setup, context, and access for all students. Teacher established the task, activated prior knowledge, and set expectations for talk and work.</w:t>
      </w:r>
    </w:p>
    <w:p>
      <w:r>
        <w:rPr>
          <w:b/>
          <w:color w:val="4472C4"/>
        </w:rPr>
        <w:t>Explore: Students engaged in the mathematical task independently or with partners. Teacher monitored, asked assessing and advancing questions, collected information about strategies and thinking.</w:t>
      </w:r>
    </w:p>
    <w:p>
      <w:r>
        <w:rPr>
          <w:b/>
          <w:color w:val="4472C4"/>
        </w:rPr>
        <w:t>Summarize: Whole-group discussion where selected student work was shared in a purposeful sequence. Teacher made explicit connections to the learning goal.</w:t>
      </w:r>
    </w:p>
    <w:p>
      <w:pPr>
        <w:pStyle w:val="ListNumber"/>
      </w:pPr>
      <w:r>
        <w:t>What did I wonder about each?</w:t>
      </w:r>
    </w:p>
    <w:p>
      <w:r>
        <w:rPr>
          <w:b/>
          <w:color w:val="4472C4"/>
        </w:rPr>
        <w:t>Did all students understand the task? Did I see evidence of productive struggle, or did some disengage? Were my monitoring notes detailed enough to select meaningful work? Were my connections to the goal clear and specific? Did the summary build toward deeper understanding?</w:t>
      </w:r>
    </w:p>
    <w:p>
      <w:pPr>
        <w:pStyle w:val="Heading5"/>
      </w:pPr>
      <w:r>
        <w:t>Did I notice when each of the following practices took place: monitoring, selecting, sequencing, and connecting?</w:t>
      </w:r>
    </w:p>
    <w:p>
      <w:pPr>
        <w:pStyle w:val="ListNumber"/>
      </w:pPr>
      <w:r>
        <w:t>Monitoring — What did I notice about it?</w:t>
      </w:r>
    </w:p>
    <w:p>
      <w:r>
        <w:rPr>
          <w:b/>
          <w:color w:val="4472C4"/>
        </w:rPr>
        <w:t>Teacher circulated purposefully, asked questions to assess thinking, recorded observations, and identified students ready to share. The quality of monitoring notes directly influenced the quality of work selection.</w:t>
      </w:r>
    </w:p>
    <w:p>
      <w:pPr>
        <w:pStyle w:val="ListNumber"/>
      </w:pPr>
      <w:r>
        <w:t>Monitoring — What did I wonder about it?</w:t>
      </w:r>
    </w:p>
    <w:p>
      <w:r>
        <w:rPr>
          <w:b/>
          <w:color w:val="4472C4"/>
        </w:rPr>
        <w:t>Did I ask assessing questions before advancing questions? Did I listen without immediately correcting? Did my notes capture strategy type, not just right/wrong? Could I explain what each student was thinking?</w:t>
      </w:r>
    </w:p>
    <w:p>
      <w:pPr>
        <w:pStyle w:val="ListNumber"/>
      </w:pPr>
      <w:r>
        <w:t>Selecting — What did I notice about it?</w:t>
      </w:r>
    </w:p>
    <w:p>
      <w:r>
        <w:rPr>
          <w:b/>
          <w:color w:val="4472C4"/>
        </w:rPr>
        <w:t>The teacher chose 3–4 pieces of work that represented different strategies or showed a progression from concrete to abstract. The selection included both correct and incorrect thinking (when appropriate) and directly supported the lesson goal.</w:t>
      </w:r>
    </w:p>
    <w:p>
      <w:pPr>
        <w:pStyle w:val="ListNumber"/>
      </w:pPr>
      <w:r>
        <w:t>Selecting — What did I wonder about it?</w:t>
      </w:r>
    </w:p>
    <w:p>
      <w:r>
        <w:rPr>
          <w:b/>
          <w:color w:val="4472C4"/>
        </w:rPr>
        <w:t>Did the selected work truly show what I want students to understand? Did I include student mistakes or incomplete thinking that reveal important misconceptions? Did I select work that challenges stereotypes about who is "smart" at math?</w:t>
      </w:r>
    </w:p>
    <w:p>
      <w:pPr>
        <w:pStyle w:val="ListNumber"/>
      </w:pPr>
      <w:r>
        <w:t>Sequencing — What did I notice about it?</w:t>
      </w:r>
    </w:p>
    <w:p>
      <w:r>
        <w:rPr>
          <w:b/>
          <w:color w:val="4472C4"/>
        </w:rPr>
        <w:t>The order in which work was shared built a logical progression. Often: concrete before abstract, less sophisticated before more sophisticated, addressing misconceptions before correct thinking.</w:t>
      </w:r>
    </w:p>
    <w:p>
      <w:pPr>
        <w:pStyle w:val="ListNumber"/>
      </w:pPr>
      <w:r>
        <w:t>Sequencing — What did I wonder about it?</w:t>
      </w:r>
    </w:p>
    <w:p>
      <w:r>
        <w:rPr>
          <w:b/>
          <w:color w:val="4472C4"/>
        </w:rPr>
        <w:t>Did the order make sense? Could a student following the sequence see why we moved from one approach to the next? Did the progression scaffold thinking toward the goal?</w:t>
      </w:r>
    </w:p>
    <w:p>
      <w:pPr>
        <w:pStyle w:val="ListNumber"/>
      </w:pPr>
      <w:r>
        <w:t>Connecting — What did I notice about it?</w:t>
      </w:r>
    </w:p>
    <w:p>
      <w:r>
        <w:rPr>
          <w:b/>
          <w:color w:val="4472C4"/>
        </w:rPr>
        <w:t>The teacher explicitly linked student work to the lesson goal: "When you used tens and ones, you were showing place value." The teacher also asked students to compare strategies: "How is this like what we saw before?" Student work was not left as isolated examples but as connected pieces of a larger mathematical story.</w:t>
      </w:r>
    </w:p>
    <w:p>
      <w:pPr>
        <w:pStyle w:val="ListNumber"/>
      </w:pPr>
      <w:r>
        <w:t>Connecting — What did I wonder about it?</w:t>
      </w:r>
    </w:p>
    <w:p>
      <w:r>
        <w:rPr>
          <w:b/>
          <w:color w:val="4472C4"/>
        </w:rPr>
        <w:t>Were the connections specific to my learning goal, or were they vague? Did students understand WHY I was comparing these two strategies? Did the connections help students see the mathematics more deeply, or just name surface similarities?</w:t>
      </w:r>
    </w:p>
    <w:p/>
    <w:p>
      <w:pPr>
        <w:pStyle w:val="Heading2"/>
      </w:pPr>
      <w:r>
        <w:t>Summary: The 5 Practices in Action</w:t>
      </w:r>
    </w:p>
    <w:p>
      <w:r>
        <w:t>The practices flow together:</w:t>
      </w:r>
    </w:p>
    <w:p>
      <w:pPr>
        <w:pStyle w:val="ListNumber"/>
      </w:pPr>
      <w:r>
        <w:t>Monitoring (Practice 3): Systematically track and assess student thinking to know what ideas are in the room.</w:t>
      </w:r>
    </w:p>
    <w:p>
      <w:pPr>
        <w:pStyle w:val="ListNumber"/>
      </w:pPr>
      <w:r>
        <w:t>Selecting (Practice 4): Choose which ideas to highlight and who will share.</w:t>
      </w:r>
    </w:p>
    <w:p>
      <w:pPr>
        <w:pStyle w:val="ListNumber"/>
      </w:pPr>
      <w:r>
        <w:t>Sequencing (Practice 4): Arrange the selected ideas in a purposeful order.</w:t>
      </w:r>
    </w:p>
    <w:p>
      <w:pPr>
        <w:pStyle w:val="ListNumber"/>
      </w:pPr>
      <w:r>
        <w:t>Connecting (Practice 5): Help students see how the ideas relate to each other and to the big mathematical idea.</w:t>
      </w:r>
    </w:p>
    <w:p>
      <w:pPr>
        <w:pStyle w:val="ListNumber"/>
      </w:pPr>
      <w:r>
        <w:t>Talk Moves: Use strategic talk moves throughout to support clarification, orientation, reasoning, and engagement.</w:t>
      </w:r>
    </w:p>
    <w:p>
      <w:r>
        <w:t>Together, these practices transform classroom discussion from a list of student answers into a coherent, purposeful mathematical narrative that deepens understanding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