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CampusKart Software Test Plan</w:t>
      </w:r>
    </w:p>
    <w:p>
      <w:pPr>
        <w:jc w:val="left"/>
      </w:pPr>
      <w:r>
        <w:t>Manual QA Portfolio | Buyer and Seller Mobile Web Experience</w:t>
      </w:r>
    </w:p>
    <w:tbl>
      <w:tblPr>
        <w:tblStyle w:val="TableGrid"/>
        <w:tblW w:type="auto" w:w="0"/>
        <w:jc w:val="left"/>
        <w:tblLook w:firstColumn="1" w:firstRow="1" w:lastColumn="0" w:lastRow="0" w:noHBand="0" w:noVBand="1" w:val="04A0"/>
      </w:tblPr>
      <w:tblGrid>
        <w:gridCol w:w="5112"/>
        <w:gridCol w:w="5112"/>
      </w:tblGrid>
      <w:tr>
        <w:tc>
          <w:tcPr>
            <w:tcW w:type="dxa" w:w="5112"/>
            <w:vAlign w:val="center"/>
            <w:shd w:fill="1E6F6D"/>
          </w:tcPr>
          <w:p>
            <w:r/>
            <w:r>
              <w:rPr>
                <w:b/>
                <w:color w:val="FFFFFF"/>
                <w:sz w:val="18"/>
              </w:rPr>
              <w:t>Product</w:t>
            </w:r>
          </w:p>
        </w:tc>
        <w:tc>
          <w:tcPr>
            <w:tcW w:type="dxa" w:w="5112"/>
            <w:vAlign w:val="center"/>
          </w:tcPr>
          <w:p>
            <w:r/>
            <w:r>
              <w:rPr>
                <w:b w:val="0"/>
                <w:sz w:val="18"/>
              </w:rPr>
              <w:t>CampusKart (campuskart.site)</w:t>
            </w:r>
          </w:p>
        </w:tc>
      </w:tr>
      <w:tr>
        <w:tc>
          <w:tcPr>
            <w:tcW w:type="dxa" w:w="5112"/>
            <w:vAlign w:val="center"/>
            <w:shd w:fill="1E6F6D"/>
          </w:tcPr>
          <w:p>
            <w:r/>
            <w:r>
              <w:rPr>
                <w:b/>
                <w:color w:val="FFFFFF"/>
                <w:sz w:val="18"/>
              </w:rPr>
              <w:t>Tester</w:t>
            </w:r>
          </w:p>
        </w:tc>
        <w:tc>
          <w:tcPr>
            <w:tcW w:type="dxa" w:w="5112"/>
            <w:vAlign w:val="center"/>
          </w:tcPr>
          <w:p>
            <w:r/>
            <w:r>
              <w:rPr>
                <w:b w:val="0"/>
                <w:sz w:val="18"/>
              </w:rPr>
              <w:t>Lateefat Ogunjimi</w:t>
            </w:r>
          </w:p>
        </w:tc>
      </w:tr>
      <w:tr>
        <w:tc>
          <w:tcPr>
            <w:tcW w:type="dxa" w:w="5112"/>
            <w:vAlign w:val="center"/>
            <w:shd w:fill="1E6F6D"/>
          </w:tcPr>
          <w:p>
            <w:r/>
            <w:r>
              <w:rPr>
                <w:b/>
                <w:color w:val="FFFFFF"/>
                <w:sz w:val="18"/>
              </w:rPr>
              <w:t>Execution date</w:t>
            </w:r>
          </w:p>
        </w:tc>
        <w:tc>
          <w:tcPr>
            <w:tcW w:type="dxa" w:w="5112"/>
            <w:vAlign w:val="center"/>
          </w:tcPr>
          <w:p>
            <w:r/>
            <w:r>
              <w:rPr>
                <w:b w:val="0"/>
                <w:sz w:val="18"/>
              </w:rPr>
              <w:t>17 September 2026</w:t>
            </w:r>
          </w:p>
        </w:tc>
      </w:tr>
      <w:tr>
        <w:tc>
          <w:tcPr>
            <w:tcW w:type="dxa" w:w="5112"/>
            <w:vAlign w:val="center"/>
            <w:shd w:fill="1E6F6D"/>
          </w:tcPr>
          <w:p>
            <w:r/>
            <w:r>
              <w:rPr>
                <w:b/>
                <w:color w:val="FFFFFF"/>
                <w:sz w:val="18"/>
              </w:rPr>
              <w:t>Test platform</w:t>
            </w:r>
          </w:p>
        </w:tc>
        <w:tc>
          <w:tcPr>
            <w:tcW w:type="dxa" w:w="5112"/>
            <w:vAlign w:val="center"/>
          </w:tcPr>
          <w:p>
            <w:r/>
            <w:r>
              <w:rPr>
                <w:b w:val="0"/>
                <w:sz w:val="18"/>
              </w:rPr>
              <w:t>Mobile web; portrait and landscape</w:t>
            </w:r>
          </w:p>
        </w:tc>
      </w:tr>
      <w:tr>
        <w:tc>
          <w:tcPr>
            <w:tcW w:type="dxa" w:w="5112"/>
            <w:vAlign w:val="center"/>
            <w:shd w:fill="1E6F6D"/>
          </w:tcPr>
          <w:p>
            <w:r/>
            <w:r>
              <w:rPr>
                <w:b/>
                <w:color w:val="FFFFFF"/>
                <w:sz w:val="18"/>
              </w:rPr>
              <w:t>Approach</w:t>
            </w:r>
          </w:p>
        </w:tc>
        <w:tc>
          <w:tcPr>
            <w:tcW w:type="dxa" w:w="5112"/>
            <w:vAlign w:val="center"/>
          </w:tcPr>
          <w:p>
            <w:r/>
            <w:r>
              <w:rPr>
                <w:b w:val="0"/>
                <w:sz w:val="18"/>
              </w:rPr>
              <w:t>Manual functional + exploratory testing</w:t>
            </w:r>
          </w:p>
        </w:tc>
      </w:tr>
    </w:tbl>
    <w:p/>
    <w:p>
      <w:pPr>
        <w:pStyle w:val="Heading1"/>
      </w:pPr>
      <w:r>
        <w:t>1. Purpose</w:t>
      </w:r>
    </w:p>
    <w:p>
      <w:r>
        <w:t>This test plan defines the scope, approach, environment, objectives, and completion criteria for a manual QA cycle on CampusKart. The cycle evaluates the buyer and seller mobile web experiences and documents reproducible defects with traceable evidence.</w:t>
      </w:r>
    </w:p>
    <w:p>
      <w:pPr>
        <w:pStyle w:val="Heading1"/>
      </w:pPr>
      <w:r>
        <w:t>2. Objectives</w:t>
      </w:r>
    </w:p>
    <w:p>
      <w:pPr>
        <w:pStyle w:val="ListBullet"/>
      </w:pPr>
      <w:r>
        <w:t>Verify core buyer and seller journeys behave as expected.</w:t>
      </w:r>
    </w:p>
    <w:p>
      <w:pPr>
        <w:pStyle w:val="ListBullet"/>
      </w:pPr>
      <w:r>
        <w:t>Identify functional, navigation, validation, state-persistence, and usability defects.</w:t>
      </w:r>
    </w:p>
    <w:p>
      <w:pPr>
        <w:pStyle w:val="ListBullet"/>
      </w:pPr>
      <w:r>
        <w:t>Exercise negative and edge conditions in addition to normal user flows.</w:t>
      </w:r>
    </w:p>
    <w:p>
      <w:pPr>
        <w:pStyle w:val="ListBullet"/>
      </w:pPr>
      <w:r>
        <w:t>Document expected versus actual behaviour, severity, priority, and supporting evidence.</w:t>
      </w:r>
    </w:p>
    <w:p>
      <w:pPr>
        <w:pStyle w:val="Heading1"/>
      </w:pPr>
      <w:r>
        <w:t>3. In Scope</w:t>
      </w:r>
    </w:p>
    <w:p>
      <w:pPr>
        <w:pStyle w:val="ListBullet"/>
      </w:pPr>
      <w:r>
        <w:t>Homepage and primary navigation; theme controls and refresh behaviour.</w:t>
      </w:r>
    </w:p>
    <w:p>
      <w:pPr>
        <w:pStyle w:val="ListBullet"/>
      </w:pPr>
      <w:r>
        <w:t>Search, categories, product discovery, and product-detail navigation.</w:t>
      </w:r>
    </w:p>
    <w:p>
      <w:pPr>
        <w:pStyle w:val="ListBullet"/>
      </w:pPr>
      <w:r>
        <w:t>Wishlist, cart contents, quantity/totals, and cart badge behaviour.</w:t>
      </w:r>
    </w:p>
    <w:p>
      <w:pPr>
        <w:pStyle w:val="ListBullet"/>
      </w:pPr>
      <w:r>
        <w:t>Buyer profile, orders, login, and logout.</w:t>
      </w:r>
    </w:p>
    <w:p>
      <w:pPr>
        <w:pStyle w:val="ListBullet"/>
      </w:pPr>
      <w:r>
        <w:t>Seller dashboard, products, orders, wallet, messages, profile completion, and role switching.</w:t>
      </w:r>
    </w:p>
    <w:p>
      <w:pPr>
        <w:pStyle w:val="ListBullet"/>
      </w:pPr>
      <w:r>
        <w:t>Help/FAQ, Terms &amp; Privacy, and portrait/landscape responsiveness.</w:t>
      </w:r>
    </w:p>
    <w:p>
      <w:pPr>
        <w:pStyle w:val="Heading1"/>
      </w:pPr>
      <w:r>
        <w:t>4. Out of Scope / Constraints</w:t>
      </w:r>
    </w:p>
    <w:p>
      <w:pPr>
        <w:pStyle w:val="ListBullet"/>
      </w:pPr>
      <w:r>
        <w:t>Live payments, wallet withdrawals, and financial settlement: no safe funded transaction path was available.</w:t>
      </w:r>
    </w:p>
    <w:p>
      <w:pPr>
        <w:pStyle w:val="ListBullet"/>
      </w:pPr>
      <w:r>
        <w:t>Completed-order lifecycle and seller ratings: no completed transaction data existed.</w:t>
      </w:r>
    </w:p>
    <w:p>
      <w:pPr>
        <w:pStyle w:val="ListBullet"/>
      </w:pPr>
      <w:r>
        <w:t>Seller product publishing, moderation, and approval: completion required identity verification and administrative approval.</w:t>
      </w:r>
    </w:p>
    <w:p>
      <w:pPr>
        <w:pStyle w:val="ListBullet"/>
      </w:pPr>
      <w:r>
        <w:t>Broad desktop, tablet, Android, and cross-browser coverage: this cycle used the available mobile test device.</w:t>
      </w:r>
    </w:p>
    <w:p>
      <w:pPr>
        <w:pStyle w:val="Heading1"/>
      </w:pPr>
      <w:r>
        <w:t>5. Test Environment</w:t>
      </w:r>
    </w:p>
    <w:tbl>
      <w:tblPr>
        <w:tblStyle w:val="TableGrid"/>
        <w:tblW w:type="auto" w:w="0"/>
        <w:jc w:val="left"/>
        <w:tblLook w:firstColumn="1" w:firstRow="1" w:lastColumn="0" w:lastRow="0" w:noHBand="0" w:noVBand="1" w:val="04A0"/>
      </w:tblPr>
      <w:tblGrid>
        <w:gridCol w:w="5112"/>
        <w:gridCol w:w="5112"/>
      </w:tblGrid>
      <w:tr>
        <w:tc>
          <w:tcPr>
            <w:tcW w:type="dxa" w:w="5112"/>
            <w:vAlign w:val="center"/>
            <w:shd w:fill="16324F"/>
          </w:tcPr>
          <w:p>
            <w:r/>
            <w:r>
              <w:rPr>
                <w:b/>
                <w:color w:val="FFFFFF"/>
                <w:sz w:val="18"/>
              </w:rPr>
              <w:t>Dimension</w:t>
            </w:r>
          </w:p>
        </w:tc>
        <w:tc>
          <w:tcPr>
            <w:tcW w:type="dxa" w:w="5112"/>
            <w:vAlign w:val="center"/>
            <w:shd w:fill="16324F"/>
          </w:tcPr>
          <w:p>
            <w:r/>
            <w:r>
              <w:rPr>
                <w:b/>
                <w:color w:val="FFFFFF"/>
                <w:sz w:val="18"/>
              </w:rPr>
              <w:t>Coverage</w:t>
            </w:r>
          </w:p>
        </w:tc>
      </w:tr>
      <w:tr>
        <w:tc>
          <w:tcPr>
            <w:tcW w:type="dxa" w:w="5112"/>
            <w:vAlign w:val="center"/>
          </w:tcPr>
          <w:p>
            <w:r/>
            <w:r>
              <w:rPr>
                <w:b/>
                <w:sz w:val="18"/>
              </w:rPr>
              <w:t>Site</w:t>
            </w:r>
          </w:p>
        </w:tc>
        <w:tc>
          <w:tcPr>
            <w:tcW w:type="dxa" w:w="5112"/>
            <w:vAlign w:val="center"/>
          </w:tcPr>
          <w:p>
            <w:r/>
            <w:r>
              <w:rPr>
                <w:b w:val="0"/>
                <w:sz w:val="18"/>
              </w:rPr>
              <w:t>campuskart.site</w:t>
            </w:r>
          </w:p>
        </w:tc>
      </w:tr>
      <w:tr>
        <w:tc>
          <w:tcPr>
            <w:tcW w:type="dxa" w:w="5112"/>
            <w:vAlign w:val="center"/>
          </w:tcPr>
          <w:p>
            <w:r/>
            <w:r>
              <w:rPr>
                <w:b/>
                <w:sz w:val="18"/>
              </w:rPr>
              <w:t>Device</w:t>
            </w:r>
          </w:p>
        </w:tc>
        <w:tc>
          <w:tcPr>
            <w:tcW w:type="dxa" w:w="5112"/>
            <w:vAlign w:val="center"/>
          </w:tcPr>
          <w:p>
            <w:r/>
            <w:r>
              <w:rPr>
                <w:b w:val="0"/>
                <w:sz w:val="18"/>
              </w:rPr>
              <w:t>Mobile phone</w:t>
            </w:r>
          </w:p>
        </w:tc>
      </w:tr>
      <w:tr>
        <w:tc>
          <w:tcPr>
            <w:tcW w:type="dxa" w:w="5112"/>
            <w:vAlign w:val="center"/>
          </w:tcPr>
          <w:p>
            <w:r/>
            <w:r>
              <w:rPr>
                <w:b/>
                <w:sz w:val="18"/>
              </w:rPr>
              <w:t>Browser</w:t>
            </w:r>
          </w:p>
        </w:tc>
        <w:tc>
          <w:tcPr>
            <w:tcW w:type="dxa" w:w="5112"/>
            <w:vAlign w:val="center"/>
          </w:tcPr>
          <w:p>
            <w:r/>
            <w:r>
              <w:rPr>
                <w:b w:val="0"/>
                <w:sz w:val="18"/>
              </w:rPr>
              <w:t>Mobile web browser (Safari interface shown in evidence)</w:t>
            </w:r>
          </w:p>
        </w:tc>
      </w:tr>
      <w:tr>
        <w:tc>
          <w:tcPr>
            <w:tcW w:type="dxa" w:w="5112"/>
            <w:vAlign w:val="center"/>
          </w:tcPr>
          <w:p>
            <w:r/>
            <w:r>
              <w:rPr>
                <w:b/>
                <w:sz w:val="18"/>
              </w:rPr>
              <w:t>Operating system</w:t>
            </w:r>
          </w:p>
        </w:tc>
        <w:tc>
          <w:tcPr>
            <w:tcW w:type="dxa" w:w="5112"/>
            <w:vAlign w:val="center"/>
          </w:tcPr>
          <w:p>
            <w:r/>
            <w:r>
              <w:rPr>
                <w:b w:val="0"/>
                <w:sz w:val="18"/>
              </w:rPr>
              <w:t>Mobile operating system; exact version not recorded</w:t>
            </w:r>
          </w:p>
        </w:tc>
      </w:tr>
      <w:tr>
        <w:tc>
          <w:tcPr>
            <w:tcW w:type="dxa" w:w="5112"/>
            <w:vAlign w:val="center"/>
          </w:tcPr>
          <w:p>
            <w:r/>
            <w:r>
              <w:rPr>
                <w:b/>
                <w:sz w:val="18"/>
              </w:rPr>
              <w:t>Orientations</w:t>
            </w:r>
          </w:p>
        </w:tc>
        <w:tc>
          <w:tcPr>
            <w:tcW w:type="dxa" w:w="5112"/>
            <w:vAlign w:val="center"/>
          </w:tcPr>
          <w:p>
            <w:r/>
            <w:r>
              <w:rPr>
                <w:b w:val="0"/>
                <w:sz w:val="18"/>
              </w:rPr>
              <w:t>Portrait and landscape</w:t>
            </w:r>
          </w:p>
        </w:tc>
      </w:tr>
      <w:tr>
        <w:tc>
          <w:tcPr>
            <w:tcW w:type="dxa" w:w="5112"/>
            <w:vAlign w:val="center"/>
          </w:tcPr>
          <w:p>
            <w:r/>
            <w:r>
              <w:rPr>
                <w:b/>
                <w:sz w:val="18"/>
              </w:rPr>
              <w:t>Accounts</w:t>
            </w:r>
          </w:p>
        </w:tc>
        <w:tc>
          <w:tcPr>
            <w:tcW w:type="dxa" w:w="5112"/>
            <w:vAlign w:val="center"/>
          </w:tcPr>
          <w:p>
            <w:r/>
            <w:r>
              <w:rPr>
                <w:b w:val="0"/>
                <w:sz w:val="18"/>
              </w:rPr>
              <w:t>Authorized buyer and seller accounts</w:t>
            </w:r>
          </w:p>
        </w:tc>
      </w:tr>
      <w:tr>
        <w:tc>
          <w:tcPr>
            <w:tcW w:type="dxa" w:w="5112"/>
            <w:vAlign w:val="center"/>
          </w:tcPr>
          <w:p>
            <w:r/>
            <w:r>
              <w:rPr>
                <w:b/>
                <w:sz w:val="18"/>
              </w:rPr>
              <w:t>Test date</w:t>
            </w:r>
          </w:p>
        </w:tc>
        <w:tc>
          <w:tcPr>
            <w:tcW w:type="dxa" w:w="5112"/>
            <w:vAlign w:val="center"/>
          </w:tcPr>
          <w:p>
            <w:r/>
            <w:r>
              <w:rPr>
                <w:b w:val="0"/>
                <w:sz w:val="18"/>
              </w:rPr>
              <w:t>17 September 2026</w:t>
            </w:r>
          </w:p>
        </w:tc>
      </w:tr>
    </w:tbl>
    <w:p>
      <w:pPr>
        <w:pStyle w:val="Heading1"/>
      </w:pPr>
      <w:r>
        <w:t>6. Test Method</w:t>
      </w:r>
    </w:p>
    <w:p>
      <w:r>
        <w:t>Testing combined scripted functional checks with exploratory, negative, and boundary checks. Actual results and statuses were recorded for every executed case. Screenshots were captured for reproducible failures and relevant state transitions. Refresh, browser Back, role switching, and orientation changes were included where applicable.</w:t>
      </w:r>
    </w:p>
    <w:p>
      <w:pPr>
        <w:pStyle w:val="Heading1"/>
      </w:pPr>
      <w:r>
        <w:t>7. Defect Reporting</w:t>
      </w:r>
    </w:p>
    <w:p>
      <w:r>
        <w:t>Each confirmed defect is recorded with a Bug ID, linked test, module, title, severity, priority, status, reproduction steps, expected result, actual result, and available evidence. Severity describes user/product impact; priority describes fix urgency within this test cycle.</w:t>
      </w:r>
    </w:p>
    <w:p>
      <w:pPr>
        <w:pStyle w:val="Heading1"/>
      </w:pPr>
      <w:r>
        <w:t>8. Entry and Exit Criteria</w:t>
      </w:r>
    </w:p>
    <w:p>
      <w:pPr>
        <w:pStyle w:val="Heading2"/>
      </w:pPr>
      <w:r>
        <w:t>Entry criteria</w:t>
      </w:r>
    </w:p>
    <w:p>
      <w:pPr>
        <w:pStyle w:val="ListBullet"/>
      </w:pPr>
      <w:r>
        <w:t>CampusKart test environment is reachable.</w:t>
      </w:r>
    </w:p>
    <w:p>
      <w:pPr>
        <w:pStyle w:val="ListBullet"/>
      </w:pPr>
      <w:r>
        <w:t>Authorized buyer/seller access is available for the intended scenarios.</w:t>
      </w:r>
    </w:p>
    <w:p>
      <w:pPr>
        <w:pStyle w:val="ListBullet"/>
      </w:pPr>
      <w:r>
        <w:t>The available mobile browser can execute the planned journeys.</w:t>
      </w:r>
    </w:p>
    <w:p>
      <w:pPr>
        <w:pStyle w:val="Heading2"/>
      </w:pPr>
      <w:r>
        <w:t>Exit criteria</w:t>
      </w:r>
    </w:p>
    <w:p>
      <w:pPr>
        <w:pStyle w:val="ListBullet"/>
      </w:pPr>
      <w:r>
        <w:t>All planned test cases in the cycle are executed or explicitly blocked.</w:t>
      </w:r>
    </w:p>
    <w:p>
      <w:pPr>
        <w:pStyle w:val="ListBullet"/>
      </w:pPr>
      <w:r>
        <w:t>Reproducible failures are documented with traceable defect records.</w:t>
      </w:r>
    </w:p>
    <w:p>
      <w:pPr>
        <w:pStyle w:val="ListBullet"/>
      </w:pPr>
      <w:r>
        <w:t>Available evidence is retained and linked to defects.</w:t>
      </w:r>
    </w:p>
    <w:p>
      <w:pPr>
        <w:pStyle w:val="ListBullet"/>
      </w:pPr>
      <w:r>
        <w:t>A test summary and risk assessment are produced.</w:t>
      </w:r>
    </w:p>
    <w:p>
      <w:pPr>
        <w:pStyle w:val="Heading1"/>
      </w:pPr>
      <w:r>
        <w:t>9. Deliverables</w:t>
      </w:r>
    </w:p>
    <w:p>
      <w:pPr>
        <w:pStyle w:val="ListBullet"/>
      </w:pPr>
      <w:r>
        <w:t>Test plan</w:t>
      </w:r>
    </w:p>
    <w:p>
      <w:pPr>
        <w:pStyle w:val="ListBullet"/>
      </w:pPr>
      <w:r>
        <w:t>Test-case and bug-report workbook</w:t>
      </w:r>
    </w:p>
    <w:p>
      <w:pPr>
        <w:pStyle w:val="ListBullet"/>
      </w:pPr>
      <w:r>
        <w:t>Defect log</w:t>
      </w:r>
    </w:p>
    <w:p>
      <w:pPr>
        <w:pStyle w:val="ListBullet"/>
      </w:pPr>
      <w:r>
        <w:t>Evidence pack</w:t>
      </w:r>
    </w:p>
    <w:p>
      <w:pPr>
        <w:pStyle w:val="ListBullet"/>
      </w:pPr>
      <w:r>
        <w:t>Comprehensive QA report</w:t>
      </w:r>
    </w:p>
    <w:p>
      <w:pPr>
        <w:pStyle w:val="ListBullet"/>
      </w:pPr>
      <w:r>
        <w:t>Test summary report</w:t>
      </w:r>
    </w:p>
    <w:p>
      <w:pPr>
        <w:pStyle w:val="ListBullet"/>
      </w:pPr>
      <w:r>
        <w:t>GitHub README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CampusKart QA Portfolio | Lateefat Ogunjimi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6F6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6F6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