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CampusKart Test Summary Report</w:t>
      </w:r>
    </w:p>
    <w:p>
      <w:pPr>
        <w:jc w:val="left"/>
      </w:pPr>
      <w:r>
        <w:t>Execution summary and risk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67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Negative / 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38</w:t>
            </w:r>
          </w:p>
        </w:tc>
      </w:tr>
    </w:tbl>
    <w:p/>
    <w:p>
      <w:pPr>
        <w:pStyle w:val="Heading1"/>
      </w:pPr>
      <w:r>
        <w:t>1. Summary</w:t>
      </w:r>
    </w:p>
    <w:p>
      <w:r>
        <w:t>A mobile-focused functional and exploratory test cycle was completed across CampusKart’s buyer and seller experiences. The application remained broadly navigable and stable during normal use, but defects in authentication feedback, post-logout routing, seller identity display, search behaviour, wishlist discoverability, and state persistence created avoidable user risk.</w:t>
      </w:r>
    </w:p>
    <w:p>
      <w:pPr>
        <w:pStyle w:val="Heading1"/>
      </w:pPr>
      <w:r>
        <w:t>2. What Worked Well</w:t>
      </w:r>
    </w:p>
    <w:p>
      <w:pPr>
        <w:pStyle w:val="ListBullet"/>
      </w:pPr>
      <w:r>
        <w:t>Buyer and seller pages opened without freezes during exercised journeys.</w:t>
      </w:r>
    </w:p>
    <w:p>
      <w:pPr>
        <w:pStyle w:val="ListBullet"/>
      </w:pPr>
      <w:r>
        <w:t>Primary navigation highlighting and browser Back behaviour were generally correct outside the logout defect.</w:t>
      </w:r>
    </w:p>
    <w:p>
      <w:pPr>
        <w:pStyle w:val="ListBullet"/>
      </w:pPr>
      <w:r>
        <w:t>Page state generally remained intact after refresh.</w:t>
      </w:r>
    </w:p>
    <w:p>
      <w:pPr>
        <w:pStyle w:val="ListBullet"/>
      </w:pPr>
      <w:r>
        <w:t>Seller navigation, buyer storefront switching, and return to seller interface worked with seller session retained.</w:t>
      </w:r>
    </w:p>
    <w:p>
      <w:pPr>
        <w:pStyle w:val="ListBullet"/>
      </w:pPr>
      <w:r>
        <w:t>Buyer and seller interfaces functioned in landscape orientation.</w:t>
      </w:r>
    </w:p>
    <w:p>
      <w:pPr>
        <w:pStyle w:val="ListBullet"/>
      </w:pPr>
      <w:r>
        <w:t>FAQ accordion interactions, Terms/Privacy switching, input length limits, and required-input highlighting worked in exercised scenarios.</w:t>
      </w:r>
    </w:p>
    <w:p>
      <w:pPr>
        <w:pStyle w:val="Heading1"/>
      </w:pPr>
      <w:r>
        <w:t>3. Defect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Fix before release / prioritize higher-risk defects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Schedule and verify</w:t>
            </w:r>
          </w:p>
        </w:tc>
      </w:tr>
    </w:tbl>
    <w:p>
      <w:pPr>
        <w:pStyle w:val="Heading1"/>
      </w:pPr>
      <w:r>
        <w:t>4. Highest-Risk Area</w:t>
      </w:r>
    </w:p>
    <w:p>
      <w:r>
        <w:t>Authentication and session routing presented the highest release risk in this cycle. BUG-007 provided no useful feedback after invalid credentials, while BUG-008 sent a signed-out user to a persistent 404 when browser history was used. These failures occur at trust-sensitive boundaries and make it harder for users to understand whether an action succeeded or recover safely.</w:t>
      </w:r>
    </w:p>
    <w:p>
      <w:pPr>
        <w:pStyle w:val="Heading1"/>
      </w:pPr>
      <w:r>
        <w:t>5. Release Recommendation from the Test Cycle</w:t>
      </w:r>
    </w:p>
    <w:p>
      <w:r>
        <w:t>The original test-cycle recommendation was not to release the build unchanged. The documented fix order prioritized authentication feedback and post-logout routing (BUG-007 and BUG-008), followed by seller identity in the cart (BUG-004), then search navigation/reset behaviour and the remaining issues. A focused regression was recommended after fixes.</w:t>
      </w:r>
    </w:p>
    <w:p>
      <w:pPr>
        <w:pStyle w:val="Heading1"/>
      </w:pPr>
      <w:r>
        <w:t>6. Recommended Next Cycle</w:t>
      </w:r>
    </w:p>
    <w:p>
      <w:r>
        <w:t>Expand coverage to Android and desktop browsers, multiple screen sizes, interrupted-network and session-expiry scenarios, and end-to-end product publishing, moderation, checkout, payment, order fulfilment, wallet withdrawal, and seller-rating flows using controlled test accounts. These areas were deferred because the current cycle lacked safe funded transactions, completed orders, identity verification, and administrative approval access.</w:t>
      </w:r>
    </w:p>
    <w:p>
      <w:pPr>
        <w:pStyle w:val="Heading1"/>
      </w:pPr>
      <w:r>
        <w:t>7. Evidence and Traceability</w:t>
      </w:r>
    </w:p>
    <w:p>
      <w:r>
        <w:t>The Evidence folder contains a curated subset of contemporaneous screenshots. The original evidence filenames and defect links remain documented in the comprehensive QA report and workbook. Where a defect could not be represented clearly by a still image, the executed observation remains documented explicitly.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CampusKart QA Portfolio | Lateefat Ogunjimi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6F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F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