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GUIA DE USO DOS MATERIAIS - DIMENSÃO D01</w:t>
      </w:r>
    </w:p>
    <w:p>
      <w:pPr>
        <w:jc w:val="center"/>
      </w:pPr>
      <w:r>
        <w:rPr>
          <w:i/>
          <w:color w:val="475569"/>
          <w:sz w:val="18"/>
        </w:rPr>
        <w:t>Governança, risco e terceiros | Q1-Q12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PACOTE DE APOIO DO INSTRUMENTO. Os modelos foram projetados para clínicas pequenas e médias e devem ser adaptados. Não constituem certificação, parecer jurídico ou comprovação automática do nível 0-3.</w:t>
            </w:r>
          </w:p>
        </w:tc>
      </w:tr>
    </w:tbl>
    <w:p/>
    <w:p>
      <w:pPr>
        <w:spacing w:after="80" w:line="259" w:lineRule="auto"/>
      </w:pPr>
      <w:r>
        <w:t>Objetivo: oferecer materiais diretamente utilizáveis para apoiar a verificação e a implementação dos controles de Governança, Risco e Terceiros, sem exigir estrutura corporativa complexa.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Questão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Controle avaliado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Materiais editáveis incluídos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uma pessoa ou função formalmente designada para coordenar a segurança da informação e a cibersegurança na organização?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Termo de designação; Checklist de formalização; Exemplo preenchido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As responsabilidades de segurança da informação estão definidas para a direção, a TI, os gestores, os usuários e os prestadores de serviço?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Matriz RACI; Checklist de responsabilidades; Exemplo RACI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uma política de segurança da informação formalmente aprovada pela direção?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Modelo de PSI; Checklist de aprovação/divulgação; Registro de ciência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As políticas e os procedimentos de segurança são revisados periodicamente ou após mudanças relevantes e incidentes?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Calendário de revisões; Registro de alterações; Checklist de gatilhos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organização realiza avaliações periódicas dos riscos cibernéticos que podem afetar suas atividades e os dados dos pacientes?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Avaliação de riscos; Registro de riscos; Exemplo de ransomware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Q6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Existem critérios definidos para classificar, priorizar, tratar ou aceitar riscos de segurança?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Critérios de risco; Tratamento/aceitação; Checklist de decisão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Q7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Os requisitos legais, regulatórios, contratuais e de privacidade aplicáveis ao tratamento de dados são identificados e acompanhados?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Registro de requisitos; Checklist de revisão; Exemplo preenchido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Q8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direção participa das decisões sobre riscos, prioridades e investimentos relacionados à segurança cibernética?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Pauta/ata de governança; Sumário executivo; Checklist da direção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Q9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As prioridades de segurança cibernética possuem recursos humanos, técnicos e/ou financeiros definidos de forma compatível com os riscos e a criticidade dos serviços?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Plano de recursos; Priorização de investimentos; Checklist de lacunas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Q10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Antes da contratação de fornecedores críticos, são avaliados requisitos de segurança da informação, proteção de dados e continuidade do serviço?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Due diligence; Criticidade de fornecedor; Relatório pré-contratação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Q11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Os contratos com fornecedores e prestadores relevantes incluem, quando aplicável, cláusulas de confidencialidade, segurança, proteção de dados, comunicação de incidentes e requisitos de continuidade ou encerramento seguro do serviço?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Checklist contratual; Cláusulas-modelo; Registro de revisão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Q12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Os riscos e os acessos de terceiros são revisados durante a prestação do serviço e tratados ou revogados quando houver mudança ou encerramento da relação contratual?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Registro de acessos; Offboarding; Revisão periódica de terceiros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Princípios de uso</w:t>
      </w:r>
    </w:p>
    <w:p>
      <w:pPr>
        <w:pStyle w:val="ListBullet"/>
        <w:spacing w:after="30"/>
      </w:pPr>
      <w:r>
        <w:t>Use apenas os materiais que agregarem valor ao contexto real da clínica.</w:t>
      </w:r>
    </w:p>
    <w:p>
      <w:pPr>
        <w:pStyle w:val="ListBullet"/>
        <w:spacing w:after="30"/>
      </w:pPr>
      <w:r>
        <w:t>Não marque nível 3 apenas por preencher um modelo; o nível depende dos critérios e da evidência de aplicação.</w:t>
      </w:r>
    </w:p>
    <w:p>
      <w:pPr>
        <w:pStyle w:val="ListBullet"/>
        <w:spacing w:after="30"/>
      </w:pPr>
      <w:r>
        <w:t>Adapte responsáveis, periodicidades, escalas e campos ao porte e aos riscos.</w:t>
      </w:r>
    </w:p>
    <w:p>
      <w:pPr>
        <w:pStyle w:val="ListBullet"/>
        <w:spacing w:after="30"/>
      </w:pPr>
      <w:r>
        <w:t>Materiais contratuais e legais devem receber revisão jurídica/privacidade quando pertinente.</w:t>
      </w:r>
    </w:p>
    <w:p>
      <w:pPr>
        <w:pStyle w:val="ListBullet"/>
        <w:spacing w:after="30"/>
      </w:pPr>
      <w:r>
        <w:t>Não registre senhas, dados de pacientes ou informações sensíveis desnecessárias nesses modelos.</w:t>
      </w:r>
    </w:p>
    <w:p>
      <w:pPr>
        <w:pStyle w:val="ListBullet"/>
        <w:spacing w:after="30"/>
      </w:pPr>
      <w:r>
        <w:t>Guarde evidências de uso (versões, atas, registros, aprovações) de maneira controlada.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Cybersecurity Framework (CSF) 2.0.</w:t>
      </w:r>
    </w:p>
    <w:p>
      <w:pPr>
        <w:pStyle w:val="ListBullet"/>
        <w:spacing w:after="30"/>
      </w:pPr>
      <w:r>
        <w:t>NIST SP 1300 - Small Business Quick-Start Guide (versão em português).</w:t>
      </w:r>
    </w:p>
    <w:p>
      <w:pPr>
        <w:pStyle w:val="ListBullet"/>
        <w:spacing w:after="30"/>
      </w:pPr>
      <w:r>
        <w:t>ANPD - Guia Orientativo sobre Segurança da Informação para Agentes de Tratamento de Pequeno Porte, quando pertinente.</w:t>
      </w:r>
    </w:p>
    <w:p>
      <w:pPr>
        <w:pStyle w:val="ListBullet"/>
        <w:spacing w:after="30"/>
      </w:pPr>
      <w:r>
        <w:t>Lei nº 13.709/2018 - LGPD, quando pertinente.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Material de apoio | Dimensão D01 - Governança, risco e terceiros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