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/>
          <w:b/>
          <w:color w:val="0F172A"/>
          <w:sz w:val="30"/>
        </w:rPr>
        <w:t>CALENDÁRIO DE REVISÃO DE POLÍTICAS E PROCEDIMENTOS</w:t>
      </w:r>
    </w:p>
    <w:p>
      <w:pPr>
        <w:jc w:val="center"/>
      </w:pPr>
      <w:r>
        <w:rPr>
          <w:i/>
          <w:color w:val="475569"/>
          <w:sz w:val="18"/>
        </w:rPr>
        <w:t>Controle documental - Questão 4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EF2F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left"/>
            </w:pPr>
            <w:r>
              <w:rPr>
                <w:b/>
                <w:color w:val="312E81"/>
                <w:sz w:val="16"/>
              </w:rPr>
              <w:t>MODELO ELABORADO PARA O INSTRUMENTO. Deve ser adaptado à estrutura, aos riscos, aos processos e às responsabilidades reais da organização. O preenchimento deste material não substitui a avaliação pelos critérios 0-3 do instrumento.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PSI: Política de Segurança da Informação.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E2E8F0"/>
            <w:vAlign w:val="center"/>
          </w:tcPr>
          <w:p>
            <w:r>
              <w:rPr>
                <w:b/>
                <w:sz w:val="16"/>
              </w:rPr>
              <w:t>Documento</w:t>
            </w:r>
          </w:p>
        </w:tc>
        <w:tc>
          <w:tcPr>
            <w:tcW w:type="dxa" w:w="1473"/>
            <w:shd w:fill="E2E8F0"/>
            <w:vAlign w:val="center"/>
          </w:tcPr>
          <w:p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1473"/>
            <w:shd w:fill="E2E8F0"/>
            <w:vAlign w:val="center"/>
          </w:tcPr>
          <w:p>
            <w:r>
              <w:rPr>
                <w:b/>
                <w:sz w:val="16"/>
              </w:rPr>
              <w:t>Versão</w:t>
            </w:r>
          </w:p>
        </w:tc>
        <w:tc>
          <w:tcPr>
            <w:tcW w:type="dxa" w:w="1473"/>
            <w:shd w:fill="E2E8F0"/>
            <w:vAlign w:val="center"/>
          </w:tcPr>
          <w:p>
            <w:r>
              <w:rPr>
                <w:b/>
                <w:sz w:val="16"/>
              </w:rPr>
              <w:t>Última revisão</w:t>
            </w:r>
          </w:p>
        </w:tc>
        <w:tc>
          <w:tcPr>
            <w:tcW w:type="dxa" w:w="1473"/>
            <w:shd w:fill="E2E8F0"/>
            <w:vAlign w:val="center"/>
          </w:tcPr>
          <w:p>
            <w:r>
              <w:rPr>
                <w:b/>
                <w:sz w:val="16"/>
              </w:rPr>
              <w:t>Próxima revisão</w:t>
            </w:r>
          </w:p>
        </w:tc>
        <w:tc>
          <w:tcPr>
            <w:tcW w:type="dxa" w:w="1473"/>
            <w:shd w:fill="E2E8F0"/>
            <w:vAlign w:val="center"/>
          </w:tcPr>
          <w:p>
            <w:r>
              <w:rPr>
                <w:b/>
                <w:sz w:val="16"/>
              </w:rPr>
              <w:t>Gatilhos extraordinários</w:t>
            </w:r>
          </w:p>
        </w:tc>
        <w:tc>
          <w:tcPr>
            <w:tcW w:type="dxa" w:w="1473"/>
            <w:shd w:fill="E2E8F0"/>
            <w:vAlign w:val="center"/>
          </w:tcPr>
          <w:p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PSI</w:t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Incidente / mudança relevante / requisito</w:t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Procedimento de acessos</w:t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Mudança de sistema / processo / incidente</w:t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Procedimento de backup/restauração</w:t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Mudança de solução / falha de restauração</w:t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Plano de resposta a incidentes</w:t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Incidente/exercício / mudança de contatos</w:t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Plano de continuidade/recuperação</w:t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Mudança crítica / teste / incidente</w:t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Gestão de terceiros</w:t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Mudança contratual / incidente de fornecedor</w:t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</w:tbl>
    <w:p>
      <w:pPr>
        <w:spacing w:after="80" w:line="259" w:lineRule="auto"/>
      </w:pPr>
      <w:r>
        <w:t>Sugestão: utilize “Em dia”, “Revisão próxima”, “Vencido” e “Revisão extraordinária necessária” como status. A periodicidade deve ser definida pela organização; o instrumento não impõe um prazo único para todos os documentos.</w:t>
      </w:r>
    </w:p>
    <w:p>
      <w:r>
        <w:rPr>
          <w:rFonts w:ascii="Liberation Sans" w:hAnsi="Liberation Sans"/>
          <w:b/>
          <w:color w:val="1E293B"/>
          <w:sz w:val="22"/>
        </w:rPr>
        <w:t>Referências de apoio</w:t>
      </w:r>
    </w:p>
    <w:p>
      <w:pPr>
        <w:pStyle w:val="ListBullet"/>
        <w:spacing w:after="30"/>
      </w:pPr>
      <w:r>
        <w:t>NIST CSF 2.0 - GV.PO-02 e ID.IM-03.</w:t>
      </w:r>
    </w:p>
    <w:p>
      <w:pPr>
        <w:pStyle w:val="ListBullet"/>
        <w:spacing w:after="30"/>
      </w:pPr>
      <w:r>
        <w:t>LGPD, art. 50, quando pertinente.</w:t>
      </w:r>
    </w:p>
    <w:p>
      <w:pPr>
        <w:spacing w:after="80" w:line="259" w:lineRule="auto"/>
      </w:pPr>
      <w:r>
        <w:t>Nota: as referências indicam bases de apoio ao controle. Este material não declara conformidade legal, certificação ou nível de segurança da organização.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5"/>
      </w:rPr>
      <w:t xml:space="preserve">Material de apoio - Questão 4 | 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Liberation Sans" w:hAnsi="Liberation Sans"/>
        <w:b/>
        <w:color w:val="475569"/>
        <w:sz w:val="15"/>
      </w:rPr>
      <w:t>INSTRUMENTO DE AUTOAVALIAÇÃO DE CONTROLES DE SEGURANÇA CIBERNÉTICA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