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MODELO DE AVALIAÇÃO DE RISCOS CIBERNÉTICOS</w:t>
      </w:r>
    </w:p>
    <w:p>
      <w:pPr>
        <w:jc w:val="center"/>
      </w:pPr>
      <w:r>
        <w:rPr>
          <w:i/>
          <w:color w:val="475569"/>
          <w:sz w:val="18"/>
        </w:rPr>
        <w:t>Roteiro simplificado - Questão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1. Contexto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Preenchimento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Serviço/processo avaliado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Ativos/dados envolvidos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pela avaliação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Próxima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2. Cenários de risco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Cenário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Causa/ameaça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Impacto no atendimento/dados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Controles existentes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Probabilidade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Impacto</w:t>
            </w:r>
          </w:p>
        </w:tc>
        <w:tc>
          <w:tcPr>
            <w:tcW w:type="dxa" w:w="1473"/>
            <w:shd w:fill="E2E8F0"/>
            <w:vAlign w:val="center"/>
          </w:tcPr>
          <w:p>
            <w:r>
              <w:rPr>
                <w:b/>
                <w:sz w:val="16"/>
              </w:rPr>
              <w:t>Resultado/prioridade</w:t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Ex.: ransomware em servidor/ambiente crítico</w:t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47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3. Tratamento e acompanhamento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Risco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Decisão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Ação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Prazo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Risco residual/revisão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ID.RA-05.</w:t>
      </w:r>
    </w:p>
    <w:p>
      <w:pPr>
        <w:pStyle w:val="ListBullet"/>
        <w:spacing w:after="30"/>
      </w:pPr>
      <w:r>
        <w:t>ANPD - Guia Orientativo de Segurança da Informação para agentes de pequeno porte, como apoio complementar.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5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