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F172A"/>
          <w:sz w:val="30"/>
        </w:rPr>
        <w:t>REGISTRO DE RISCOS CIBERNÉTICOS</w:t>
      </w:r>
    </w:p>
    <w:p>
      <w:pPr>
        <w:jc w:val="center"/>
      </w:pPr>
      <w:r>
        <w:rPr>
          <w:i/>
          <w:color w:val="475569"/>
          <w:sz w:val="18"/>
        </w:rPr>
        <w:t>Modelo de acompanhamento - Questão 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312E81"/>
                <w:sz w:val="16"/>
              </w:rPr>
              <w:t>MODELO ELABORADO PARA O INSTRUMENTO. Deve ser adaptado à estrutura, aos riscos, aos processos e às responsabilidades reais da organização. O preenchimento deste material não substitui a avaliação pelos critérios 0-3 do instrumento.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</w:tblGrid>
      <w:tr>
        <w:tc>
          <w:tcPr>
            <w:tcW w:type="dxa" w:w="937"/>
            <w:shd w:fill="E2E8F0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937"/>
            <w:shd w:fill="E2E8F0"/>
            <w:vAlign w:val="center"/>
          </w:tcPr>
          <w:p>
            <w:r>
              <w:rPr>
                <w:b/>
                <w:sz w:val="16"/>
              </w:rPr>
              <w:t>Cenário de risco</w:t>
            </w:r>
          </w:p>
        </w:tc>
        <w:tc>
          <w:tcPr>
            <w:tcW w:type="dxa" w:w="937"/>
            <w:shd w:fill="E2E8F0"/>
            <w:vAlign w:val="center"/>
          </w:tcPr>
          <w:p>
            <w:r>
              <w:rPr>
                <w:b/>
                <w:sz w:val="16"/>
              </w:rPr>
              <w:t>Serviço/ativo</w:t>
            </w:r>
          </w:p>
        </w:tc>
        <w:tc>
          <w:tcPr>
            <w:tcW w:type="dxa" w:w="937"/>
            <w:shd w:fill="E2E8F0"/>
            <w:vAlign w:val="center"/>
          </w:tcPr>
          <w:p>
            <w:r>
              <w:rPr>
                <w:b/>
                <w:sz w:val="16"/>
              </w:rPr>
              <w:t>Prob.</w:t>
            </w:r>
          </w:p>
        </w:tc>
        <w:tc>
          <w:tcPr>
            <w:tcW w:type="dxa" w:w="937"/>
            <w:shd w:fill="E2E8F0"/>
            <w:vAlign w:val="center"/>
          </w:tcPr>
          <w:p>
            <w:r>
              <w:rPr>
                <w:b/>
                <w:sz w:val="16"/>
              </w:rPr>
              <w:t>Impacto</w:t>
            </w:r>
          </w:p>
        </w:tc>
        <w:tc>
          <w:tcPr>
            <w:tcW w:type="dxa" w:w="937"/>
            <w:shd w:fill="E2E8F0"/>
            <w:vAlign w:val="center"/>
          </w:tcPr>
          <w:p>
            <w:r>
              <w:rPr>
                <w:b/>
                <w:sz w:val="16"/>
              </w:rPr>
              <w:t>Nível/prioridade</w:t>
            </w:r>
          </w:p>
        </w:tc>
        <w:tc>
          <w:tcPr>
            <w:tcW w:type="dxa" w:w="937"/>
            <w:shd w:fill="E2E8F0"/>
            <w:vAlign w:val="center"/>
          </w:tcPr>
          <w:p>
            <w:r>
              <w:rPr>
                <w:b/>
                <w:sz w:val="16"/>
              </w:rPr>
              <w:t>Tratamento</w:t>
            </w:r>
          </w:p>
        </w:tc>
        <w:tc>
          <w:tcPr>
            <w:tcW w:type="dxa" w:w="937"/>
            <w:shd w:fill="E2E8F0"/>
            <w:vAlign w:val="center"/>
          </w:tcPr>
          <w:p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937"/>
            <w:shd w:fill="E2E8F0"/>
            <w:vAlign w:val="center"/>
          </w:tcPr>
          <w:p>
            <w:r>
              <w:rPr>
                <w:b/>
                <w:sz w:val="16"/>
              </w:rPr>
              <w:t>Prazo</w:t>
            </w:r>
          </w:p>
        </w:tc>
        <w:tc>
          <w:tcPr>
            <w:tcW w:type="dxa" w:w="937"/>
            <w:shd w:fill="E2E8F0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937"/>
            <w:shd w:fill="E2E8F0"/>
            <w:vAlign w:val="center"/>
          </w:tcPr>
          <w:p>
            <w:r>
              <w:rPr>
                <w:b/>
                <w:sz w:val="16"/>
              </w:rPr>
              <w:t>Última revisão</w:t>
            </w:r>
          </w:p>
        </w:tc>
      </w:tr>
      <w:tr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R-001</w:t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R-002</w:t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R-003</w:t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R-004</w:t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pPr>
        <w:spacing w:after="80" w:line="259" w:lineRule="auto"/>
      </w:pPr>
      <w:r>
        <w:t>Use a metodologia definida pela organização. Este registro não impõe uma fórmula específica de risco; a Questão 5 verifica se avaliações periódicas e documentadas cobrem os principais riscos e são acompanhadas.</w:t>
      </w:r>
    </w:p>
    <w:p>
      <w:r>
        <w:rPr>
          <w:rFonts w:ascii="Liberation Sans" w:hAnsi="Liberation Sans"/>
          <w:b/>
          <w:color w:val="1E293B"/>
          <w:sz w:val="22"/>
        </w:rPr>
        <w:t>Referências de apoio</w:t>
      </w:r>
    </w:p>
    <w:p>
      <w:pPr>
        <w:pStyle w:val="ListBullet"/>
        <w:spacing w:after="30"/>
      </w:pPr>
      <w:r>
        <w:t>NIST CSF 2.0 - ID.RA-05.</w:t>
      </w:r>
    </w:p>
    <w:p>
      <w:pPr>
        <w:spacing w:after="80" w:line="259" w:lineRule="auto"/>
      </w:pPr>
      <w:r>
        <w:t>Nota: as referências indicam bases de apoio ao controle. Este material não declara conformidade legal, certificação ou nível de segurança da organização.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Material de apoio - Questão 5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b/>
        <w:color w:val="475569"/>
        <w:sz w:val="15"/>
      </w:rPr>
      <w:t>INSTRUMENTO DE AUTOAVALIAÇÃO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