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REGISTRO DE REQUISITOS APLICÁVEIS</w:t>
      </w:r>
    </w:p>
    <w:p>
      <w:pPr>
        <w:jc w:val="center"/>
      </w:pPr>
      <w:r>
        <w:rPr>
          <w:i/>
          <w:color w:val="475569"/>
          <w:sz w:val="18"/>
        </w:rPr>
        <w:t>Legais, regulatórios, contratuais e de privacidade - Questão 7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MODELO ELABORADO PARA O INSTRUMENTO. Deve ser adaptado à estrutura, aos riscos, aos processos e às responsabilidades reais da organização. O preenchimento deste material não substitui a avaliação pelos critérios 0-3 do instrumento.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c>
          <w:tcPr>
            <w:tcW w:type="dxa" w:w="1146"/>
            <w:shd w:fill="E2E8F0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146"/>
            <w:shd w:fill="E2E8F0"/>
            <w:vAlign w:val="center"/>
          </w:tcPr>
          <w:p>
            <w:r>
              <w:rPr>
                <w:b/>
                <w:sz w:val="16"/>
              </w:rPr>
              <w:t>Requisito/fonte</w:t>
            </w:r>
          </w:p>
        </w:tc>
        <w:tc>
          <w:tcPr>
            <w:tcW w:type="dxa" w:w="1146"/>
            <w:shd w:fill="E2E8F0"/>
            <w:vAlign w:val="center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1146"/>
            <w:shd w:fill="E2E8F0"/>
            <w:vAlign w:val="center"/>
          </w:tcPr>
          <w:p>
            <w:r>
              <w:rPr>
                <w:b/>
                <w:sz w:val="16"/>
              </w:rPr>
              <w:t>Tema/obrigação</w:t>
            </w:r>
          </w:p>
        </w:tc>
        <w:tc>
          <w:tcPr>
            <w:tcW w:type="dxa" w:w="1146"/>
            <w:shd w:fill="E2E8F0"/>
            <w:vAlign w:val="center"/>
          </w:tcPr>
          <w:p>
            <w:r>
              <w:rPr>
                <w:b/>
                <w:sz w:val="16"/>
              </w:rPr>
              <w:t>Aplicabilidade</w:t>
            </w:r>
          </w:p>
        </w:tc>
        <w:tc>
          <w:tcPr>
            <w:tcW w:type="dxa" w:w="1146"/>
            <w:shd w:fill="E2E8F0"/>
            <w:vAlign w:val="center"/>
          </w:tcPr>
          <w:p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1146"/>
            <w:shd w:fill="E2E8F0"/>
            <w:vAlign w:val="center"/>
          </w:tcPr>
          <w:p>
            <w:r>
              <w:rPr>
                <w:b/>
                <w:sz w:val="16"/>
              </w:rPr>
              <w:t>Ação/evidência associada</w:t>
            </w:r>
          </w:p>
        </w:tc>
        <w:tc>
          <w:tcPr>
            <w:tcW w:type="dxa" w:w="1146"/>
            <w:shd w:fill="E2E8F0"/>
            <w:vAlign w:val="center"/>
          </w:tcPr>
          <w:p>
            <w:r>
              <w:rPr>
                <w:b/>
                <w:sz w:val="16"/>
              </w:rPr>
              <w:t>Última revisão</w:t>
            </w:r>
          </w:p>
        </w:tc>
        <w:tc>
          <w:tcPr>
            <w:tcW w:type="dxa" w:w="1146"/>
            <w:shd w:fill="E2E8F0"/>
            <w:vAlign w:val="center"/>
          </w:tcPr>
          <w:p>
            <w:r>
              <w:rPr>
                <w:b/>
                <w:sz w:val="16"/>
              </w:rPr>
              <w:t>Próxima revisão</w:t>
            </w:r>
          </w:p>
        </w:tc>
      </w:tr>
      <w:tr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REQ-001</w:t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Legal</w:t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REQ-002</w:t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Regulatório</w:t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REQ-003</w:t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Contratual</w:t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REQ-004</w:t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Privacidade</w:t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pPr>
        <w:spacing w:after="80" w:line="259" w:lineRule="auto"/>
      </w:pPr>
      <w:r>
        <w:t>Não use este registro como declaração de conformidade. Ele serve para identificar, atribuir responsabilidade e acompanhar requisitos que precisam ser interpretados e tratados pela função competente.</w:t>
      </w:r>
    </w:p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GV.OC-03.</w:t>
      </w:r>
    </w:p>
    <w:p>
      <w:pPr>
        <w:pStyle w:val="ListBullet"/>
        <w:spacing w:after="30"/>
      </w:pPr>
      <w:r>
        <w:t>Lei nº 13.709/2018 (LGPD), enquanto requisito de privacidade aplicável.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7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