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Liberation Sans" w:hAnsi="Liberation Sans"/>
          <w:b/>
          <w:color w:val="0F172A"/>
          <w:sz w:val="30"/>
        </w:rPr>
        <w:t>BIBLIOTECA DE CLÁUSULAS-MODELO PARA ADAPTAÇÃO</w:t>
      </w:r>
    </w:p>
    <w:p>
      <w:pPr>
        <w:jc w:val="center"/>
      </w:pPr>
      <w:r>
        <w:rPr>
          <w:i/>
          <w:color w:val="475569"/>
          <w:sz w:val="18"/>
        </w:rPr>
        <w:t>Textos-base técnicos - Questão 11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EEF2FF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jc w:val="left"/>
            </w:pPr>
            <w:r>
              <w:rPr>
                <w:b/>
                <w:color w:val="312E81"/>
                <w:sz w:val="16"/>
              </w:rPr>
              <w:t>ATENÇÃO: TEXTOS-BASE PARA DISCUSSÃO TÉCNICA E JURÍDICA. NÃO CONSTITUEM PARECER JURÍDICO. Devem ser adaptados ao serviço, aos papéis das partes, à criticidade, à legislação e à negociação contratual.</w:t>
            </w:r>
          </w:p>
        </w:tc>
      </w:tr>
    </w:tbl>
    <w:p/>
    <w:p>
      <w:r>
        <w:rPr>
          <w:rFonts w:ascii="Liberation Sans" w:hAnsi="Liberation Sans"/>
          <w:b/>
          <w:color w:val="1E293B"/>
          <w:sz w:val="22"/>
        </w:rPr>
        <w:t>Confidencialidade</w:t>
      </w:r>
    </w:p>
    <w:p>
      <w:pPr>
        <w:spacing w:after="80" w:line="259" w:lineRule="auto"/>
      </w:pPr>
      <w:r>
        <w:t>A CONTRATADA deverá preservar a confidencialidade das informações às quais tiver acesso em razão do serviço, limitando o uso às finalidades autorizadas e restringindo o acesso às pessoas que necessitem conhecê-las para execução contratual.</w:t>
      </w:r>
    </w:p>
    <w:p>
      <w:r>
        <w:rPr>
          <w:rFonts w:ascii="Liberation Sans" w:hAnsi="Liberation Sans"/>
          <w:b/>
          <w:color w:val="1E293B"/>
          <w:sz w:val="22"/>
        </w:rPr>
        <w:t>Controle de acesso</w:t>
      </w:r>
    </w:p>
    <w:p>
      <w:pPr>
        <w:spacing w:after="80" w:line="259" w:lineRule="auto"/>
      </w:pPr>
      <w:r>
        <w:t>A CONTRATADA deverá adotar mecanismos compatíveis com o risco para identificação, autenticação, autorização e revisão de acessos de seus profissionais, comunicando alterações relevantes que afetem acessos concedidos ao ambiente da CONTRATANTE.</w:t>
      </w:r>
    </w:p>
    <w:p>
      <w:r>
        <w:rPr>
          <w:rFonts w:ascii="Liberation Sans" w:hAnsi="Liberation Sans"/>
          <w:b/>
          <w:color w:val="1E293B"/>
          <w:sz w:val="22"/>
        </w:rPr>
        <w:t>Incidentes</w:t>
      </w:r>
    </w:p>
    <w:p>
      <w:pPr>
        <w:spacing w:after="80" w:line="259" w:lineRule="auto"/>
      </w:pPr>
      <w:r>
        <w:t>A CONTRATADA deverá comunicar à CONTRATANTE, pelo canal definido entre as partes e sem atraso indevido, eventos ou incidentes de segurança relacionados ao serviço que possam afetar dados, sistemas ou continuidade, fornecendo as informações disponíveis necessárias à avaliação e resposta.</w:t>
      </w:r>
    </w:p>
    <w:p>
      <w:r>
        <w:rPr>
          <w:rFonts w:ascii="Liberation Sans" w:hAnsi="Liberation Sans"/>
          <w:b/>
          <w:color w:val="1E293B"/>
          <w:sz w:val="22"/>
        </w:rPr>
        <w:t>Continuidade</w:t>
      </w:r>
    </w:p>
    <w:p>
      <w:pPr>
        <w:spacing w:after="80" w:line="259" w:lineRule="auto"/>
      </w:pPr>
      <w:r>
        <w:t>Quando o serviço for crítico, a CONTRATADA deverá manter medidas de continuidade e recuperação proporcionais ao impacto de indisponibilidade, incluindo responsabilidades, contatos e procedimentos de escalonamento acordados entre as partes.</w:t>
      </w:r>
    </w:p>
    <w:p>
      <w:r>
        <w:rPr>
          <w:rFonts w:ascii="Liberation Sans" w:hAnsi="Liberation Sans"/>
          <w:b/>
          <w:color w:val="1E293B"/>
          <w:sz w:val="22"/>
        </w:rPr>
        <w:t>Dados pessoais</w:t>
      </w:r>
    </w:p>
    <w:p>
      <w:pPr>
        <w:spacing w:after="80" w:line="259" w:lineRule="auto"/>
      </w:pPr>
      <w:r>
        <w:t>Quando houver tratamento de dados pessoais em nome da CONTRATANTE, as partes deverão definir os papéis, as instruções documentadas, as finalidades e as responsabilidades aplicáveis, observando a legislação de proteção de dados.</w:t>
      </w:r>
    </w:p>
    <w:p>
      <w:r>
        <w:rPr>
          <w:rFonts w:ascii="Liberation Sans" w:hAnsi="Liberation Sans"/>
          <w:b/>
          <w:color w:val="1E293B"/>
          <w:sz w:val="22"/>
        </w:rPr>
        <w:t>Subcontratação</w:t>
      </w:r>
    </w:p>
    <w:p>
      <w:pPr>
        <w:spacing w:after="80" w:line="259" w:lineRule="auto"/>
      </w:pPr>
      <w:r>
        <w:t>A utilização de subcontratados que afetem materialmente a segurança, disponibilidade ou tratamento de dados deverá observar as condições contratuais acordadas e os requisitos aplicáveis ao serviço.</w:t>
      </w:r>
    </w:p>
    <w:p>
      <w:r>
        <w:rPr>
          <w:rFonts w:ascii="Liberation Sans" w:hAnsi="Liberation Sans"/>
          <w:b/>
          <w:color w:val="1E293B"/>
          <w:sz w:val="22"/>
        </w:rPr>
        <w:t>Encerramento</w:t>
      </w:r>
    </w:p>
    <w:p>
      <w:pPr>
        <w:spacing w:after="80" w:line="259" w:lineRule="auto"/>
      </w:pPr>
      <w:r>
        <w:t>No encerramento, a CONTRATADA deverá cessar acessos, devolver ou eliminar informações conforme instruções e obrigações aplicáveis, colaborar com a transição do serviço e confirmar as providências executadas quando solicitado.</w:t>
      </w:r>
    </w:p>
    <w:p>
      <w:r>
        <w:rPr>
          <w:rFonts w:ascii="Liberation Sans" w:hAnsi="Liberation Sans"/>
          <w:b/>
          <w:color w:val="1E293B"/>
          <w:sz w:val="22"/>
        </w:rPr>
        <w:t>Referências de apoio</w:t>
      </w:r>
    </w:p>
    <w:p>
      <w:pPr>
        <w:pStyle w:val="ListBullet"/>
        <w:spacing w:after="30"/>
      </w:pPr>
      <w:r>
        <w:t>NIST CSF 2.0 - GV.SC-05.</w:t>
      </w:r>
    </w:p>
    <w:p>
      <w:pPr>
        <w:pStyle w:val="ListBullet"/>
        <w:spacing w:after="30"/>
      </w:pPr>
      <w:r>
        <w:t>Lei nº 13.709/2018 (LGPD), quando aplicável.</w:t>
      </w:r>
    </w:p>
    <w:p>
      <w:pPr>
        <w:spacing w:after="80" w:line="259" w:lineRule="auto"/>
      </w:pPr>
      <w:r>
        <w:t>Nota: as referências indicam bases de apoio ao controle. Este material não declara conformidade legal, certificação ou nível de segurança da organização.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07" w:right="964" w:bottom="85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748B"/>
        <w:sz w:val="15"/>
      </w:rPr>
      <w:t xml:space="preserve">Material de apoio - Questão 11 | Página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Liberation Sans" w:hAnsi="Liberation Sans"/>
        <w:b/>
        <w:color w:val="475569"/>
        <w:sz w:val="15"/>
      </w:rPr>
      <w:t>INSTRUMENTO DE AUTOAVALIAÇÃO DE CONTROLES DE SEGURANÇA CIBERNÉTICA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Liberation Sans" w:hAnsi="Liberation San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Liberation Sans" w:hAnsi="Liberation San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Liberation Sans" w:hAnsi="Liberation San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Liberation Sans" w:hAnsi="Liberation Sans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Liberation Sans" w:hAnsi="Liberation Sans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