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ACESSOS DE TERCEIROS</w:t>
      </w:r>
    </w:p>
    <w:p>
      <w:pPr>
        <w:jc w:val="center"/>
      </w:pPr>
      <w:r>
        <w:rPr>
          <w:i/>
          <w:color w:val="475569"/>
          <w:sz w:val="18"/>
        </w:rPr>
        <w:t>Controle de ciclo de vida - Questão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Fornecedor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Pessoa/conta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Sistema/canal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Tipo/privilégio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Justificativa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Responsável interno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Concessão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Validade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Última revisão</w:t>
            </w:r>
          </w:p>
        </w:tc>
        <w:tc>
          <w:tcPr>
            <w:tcW w:type="dxa" w:w="1031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0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Inclua, quando aplicável: VPN, AD, PACS/RIS, acesso remoto de fabricante, portal web, banco de dados, firewall, servidor, ferramenta de suporte e credenciais locais. Evite registrar senha no documento.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GV.SC-07, GV.SC-10 e PR.AA-05.</w:t>
      </w:r>
    </w:p>
    <w:p>
      <w:pPr>
        <w:pStyle w:val="ListBullet"/>
        <w:spacing w:after="30"/>
      </w:pPr>
      <w:r>
        <w:t>LGPD art. 46 quando terceiros tiverem acesso a dados pessoais.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