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COBERTURA DE RESPONSABILIDADES</w:t>
      </w:r>
    </w:p>
    <w:p>
      <w:pPr>
        <w:jc w:val="center"/>
      </w:pPr>
      <w:r>
        <w:rPr>
          <w:i/>
          <w:color w:val="5C6B82"/>
          <w:sz w:val="22"/>
        </w:rPr>
        <w:t>Verificação de lacunas — Questão 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15 — </w:t>
      </w:r>
      <w:r>
        <w:t>Os ativos e sistemas possuem responsáveis definidos por sua administração, manutenção e proteção?</w:t>
      </w:r>
    </w:p>
    <w:p>
      <w:r>
        <w:rPr>
          <w:b/>
        </w:rPr>
        <w:t xml:space="preserve">Evidência esperada no instrumento: </w:t>
      </w:r>
      <w:r>
        <w:t>matriz de responsáveis, contratos de suporte, responsáveis técnicos/administrativos</w:t>
      </w:r>
    </w:p>
    <w:p>
      <w:r>
        <w:rPr>
          <w:b/>
        </w:rPr>
        <w:t xml:space="preserve">Base principal: </w:t>
      </w:r>
      <w:r>
        <w:t>NIST CSF 2.0 — GV.RR-02</w:t>
      </w:r>
    </w:p>
    <w:p/>
    <w:p>
      <w:pPr>
        <w:pStyle w:val="Heading1"/>
      </w:pPr>
      <w:r>
        <w:t>Para cada ativo/sistema crítico, confirmar</w:t>
      </w:r>
    </w:p>
    <w:p>
      <w:pPr>
        <w:ind w:left="173"/>
      </w:pPr>
      <w:r>
        <w:rPr>
          <w:b/>
        </w:rPr>
        <w:t xml:space="preserve">☐ </w:t>
      </w:r>
      <w:r>
        <w:t>Responsável de negócio identificado.</w:t>
      </w:r>
    </w:p>
    <w:p>
      <w:pPr>
        <w:ind w:left="173"/>
      </w:pPr>
      <w:r>
        <w:rPr>
          <w:b/>
        </w:rPr>
        <w:t xml:space="preserve">☐ </w:t>
      </w:r>
      <w:r>
        <w:t>Responsável técnico identificado.</w:t>
      </w:r>
    </w:p>
    <w:p>
      <w:pPr>
        <w:ind w:left="173"/>
      </w:pPr>
      <w:r>
        <w:rPr>
          <w:b/>
        </w:rPr>
        <w:t xml:space="preserve">☐ </w:t>
      </w:r>
      <w:r>
        <w:t>Fornecedor/suporte e canal de contato conhecidos.</w:t>
      </w:r>
    </w:p>
    <w:p>
      <w:pPr>
        <w:ind w:left="173"/>
      </w:pPr>
      <w:r>
        <w:rPr>
          <w:b/>
        </w:rPr>
        <w:t xml:space="preserve">☐ </w:t>
      </w:r>
      <w:r>
        <w:t>Quem aprova mudanças está definido.</w:t>
      </w:r>
    </w:p>
    <w:p>
      <w:pPr>
        <w:ind w:left="173"/>
      </w:pPr>
      <w:r>
        <w:rPr>
          <w:b/>
        </w:rPr>
        <w:t xml:space="preserve">☐ </w:t>
      </w:r>
      <w:r>
        <w:t>Quem aprova acessos está definido.</w:t>
      </w:r>
    </w:p>
    <w:p>
      <w:pPr>
        <w:ind w:left="173"/>
      </w:pPr>
      <w:r>
        <w:rPr>
          <w:b/>
        </w:rPr>
        <w:t xml:space="preserve">☐ </w:t>
      </w:r>
      <w:r>
        <w:t>Quem responde por documentação e continuidade está definido.</w:t>
      </w:r>
    </w:p>
    <w:p>
      <w:pPr>
        <w:ind w:left="173"/>
      </w:pPr>
      <w:r>
        <w:rPr>
          <w:b/>
        </w:rPr>
        <w:t xml:space="preserve">☐ </w:t>
      </w:r>
      <w:r>
        <w:t>Existe substituto ou forma de continuidade em ausência/desligamento.</w:t>
      </w:r>
    </w:p>
    <w:p>
      <w:pPr>
        <w:ind w:left="173"/>
      </w:pPr>
      <w:r>
        <w:rPr>
          <w:b/>
        </w:rPr>
        <w:t xml:space="preserve">☐ </w:t>
      </w:r>
      <w:r>
        <w:t>A responsabilidade é conhecida pelas pessoas envolvidas.</w:t>
      </w:r>
    </w:p>
    <w:p>
      <w:pPr>
        <w:ind w:left="173"/>
      </w:pPr>
      <w:r>
        <w:rPr>
          <w:b/>
        </w:rPr>
        <w:t xml:space="preserve">☐ </w:t>
      </w:r>
      <w:r>
        <w:t>Registros foram revisados após mudanças organizacionais.</w:t>
      </w:r>
    </w:p>
    <w:p>
      <w:pPr>
        <w:pStyle w:val="Heading1"/>
      </w:pPr>
      <w:r>
        <w:t>Sinais de fragilidade</w:t>
      </w:r>
    </w:p>
    <w:p>
      <w:pPr>
        <w:ind w:left="173"/>
      </w:pPr>
      <w:r>
        <w:rPr>
          <w:b w:val="0"/>
        </w:rPr>
        <w:t xml:space="preserve">• </w:t>
      </w:r>
      <w:r>
        <w:t>“Só o fornecedor sabe mexer.”</w:t>
      </w:r>
    </w:p>
    <w:p>
      <w:pPr>
        <w:ind w:left="173"/>
      </w:pPr>
      <w:r>
        <w:rPr>
          <w:b w:val="0"/>
        </w:rPr>
        <w:t xml:space="preserve">• </w:t>
      </w:r>
      <w:r>
        <w:t>“Quem sempre resolveu isso foi fulano.”</w:t>
      </w:r>
    </w:p>
    <w:p>
      <w:pPr>
        <w:ind w:left="173"/>
      </w:pPr>
      <w:r>
        <w:rPr>
          <w:b w:val="0"/>
        </w:rPr>
        <w:t xml:space="preserve">• </w:t>
      </w:r>
      <w:r>
        <w:t>Conta administrativa sem dono claro.</w:t>
      </w:r>
    </w:p>
    <w:p>
      <w:pPr>
        <w:ind w:left="173"/>
      </w:pPr>
      <w:r>
        <w:rPr>
          <w:b w:val="0"/>
        </w:rPr>
        <w:t xml:space="preserve">• </w:t>
      </w:r>
      <w:r>
        <w:t>Sistema crítico sem gestor de negócio.</w:t>
      </w:r>
    </w:p>
    <w:p>
      <w:pPr>
        <w:ind w:left="173"/>
      </w:pPr>
      <w:r>
        <w:rPr>
          <w:b w:val="0"/>
        </w:rPr>
        <w:t xml:space="preserve">• </w:t>
      </w:r>
      <w:r>
        <w:t>Mudança de responsável sem atualização de documentação.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15 | Checklist de responsabilidades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