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REVISÃO DE CRITICIDADE</w:t>
      </w:r>
    </w:p>
    <w:p>
      <w:pPr>
        <w:jc w:val="center"/>
      </w:pPr>
      <w:r>
        <w:rPr>
          <w:i/>
          <w:color w:val="5C6B82"/>
          <w:sz w:val="22"/>
        </w:rPr>
        <w:t>Histórico de mudanças — Questão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16 — </w:t>
      </w:r>
      <w:r>
        <w:t>Os ativos e sistemas são classificados conforme sua criticidade para o atendimento, a operação e a proteção de dados?</w:t>
      </w:r>
    </w:p>
    <w:p>
      <w:r>
        <w:rPr>
          <w:b/>
        </w:rPr>
        <w:t xml:space="preserve">Evidência esperada no instrumento: </w:t>
      </w:r>
      <w:r>
        <w:t>classificação de criticidade, BIA, matriz de impacto, prioridades de recuperação</w:t>
      </w:r>
    </w:p>
    <w:p>
      <w:r>
        <w:rPr>
          <w:b/>
        </w:rPr>
        <w:t xml:space="preserve">Base principal: </w:t>
      </w:r>
      <w:r>
        <w:t>NIST CSF 2.0 — ID.AM-05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RTO/RPO: RTO = tempo-alvo para recuperar o serviço; RPO = perda máxima de dados aceitável, geralmente expressa em tempo.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BIA: Análise de Impacto nos Negócios; identifica impactos, dependências e prioridades de continuidade.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PACS: Sistema de Arquivamento e Comunicação de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131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Data</w:t>
            </w:r>
          </w:p>
        </w:tc>
        <w:tc>
          <w:tcPr>
            <w:tcW w:type="dxa" w:w="131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Ativo/sistema</w:t>
            </w:r>
          </w:p>
        </w:tc>
        <w:tc>
          <w:tcPr>
            <w:tcW w:type="dxa" w:w="131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Classe anterior</w:t>
            </w:r>
          </w:p>
        </w:tc>
        <w:tc>
          <w:tcPr>
            <w:tcW w:type="dxa" w:w="131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Classe nova</w:t>
            </w:r>
          </w:p>
        </w:tc>
        <w:tc>
          <w:tcPr>
            <w:tcW w:type="dxa" w:w="131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Motivo da revisão</w:t>
            </w:r>
          </w:p>
        </w:tc>
        <w:tc>
          <w:tcPr>
            <w:tcW w:type="dxa" w:w="131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Mudança relevante</w:t>
            </w:r>
          </w:p>
        </w:tc>
        <w:tc>
          <w:tcPr>
            <w:tcW w:type="dxa" w:w="131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Responsável</w:t>
            </w:r>
          </w:p>
        </w:tc>
        <w:tc>
          <w:tcPr>
            <w:tcW w:type="dxa" w:w="131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Aprovação</w:t>
            </w:r>
          </w:p>
        </w:tc>
      </w:tr>
      <w:tr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dd/mm/aaaa</w:t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PACS</w:t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Alta</w:t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Crítica</w:t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Nova unidade passou a depender do mesmo PACS</w:t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Expansão de escopo</w:t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TI</w:t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Gestão</w:t>
            </w:r>
          </w:p>
        </w:tc>
      </w:tr>
      <w:tr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3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</w:tbl>
    <w:p/>
    <w:p>
      <w:pPr>
        <w:pStyle w:val="Heading1"/>
      </w:pPr>
      <w:r>
        <w:t>Gatilhos de revisão</w:t>
      </w:r>
    </w:p>
    <w:p>
      <w:pPr>
        <w:ind w:left="173"/>
      </w:pPr>
      <w:r>
        <w:rPr>
          <w:b/>
        </w:rPr>
        <w:t xml:space="preserve">☐ </w:t>
      </w:r>
      <w:r>
        <w:t>Nova unidade/processo dependente.</w:t>
      </w:r>
    </w:p>
    <w:p>
      <w:pPr>
        <w:ind w:left="173"/>
      </w:pPr>
      <w:r>
        <w:rPr>
          <w:b/>
        </w:rPr>
        <w:t xml:space="preserve">☐ </w:t>
      </w:r>
      <w:r>
        <w:t>Mudança de fornecedor ou arquitetura.</w:t>
      </w:r>
    </w:p>
    <w:p>
      <w:pPr>
        <w:ind w:left="173"/>
      </w:pPr>
      <w:r>
        <w:rPr>
          <w:b/>
        </w:rPr>
        <w:t xml:space="preserve">☐ </w:t>
      </w:r>
      <w:r>
        <w:t>Migração para nuvem/local.</w:t>
      </w:r>
    </w:p>
    <w:p>
      <w:pPr>
        <w:ind w:left="173"/>
      </w:pPr>
      <w:r>
        <w:rPr>
          <w:b/>
        </w:rPr>
        <w:t xml:space="preserve">☐ </w:t>
      </w:r>
      <w:r>
        <w:t>Incidente relevante.</w:t>
      </w:r>
    </w:p>
    <w:p>
      <w:pPr>
        <w:ind w:left="173"/>
      </w:pPr>
      <w:r>
        <w:rPr>
          <w:b/>
        </w:rPr>
        <w:t xml:space="preserve">☐ </w:t>
      </w:r>
      <w:r>
        <w:t>Mudança de contingência ou RTO/RPO.</w:t>
      </w:r>
    </w:p>
    <w:p>
      <w:pPr>
        <w:ind w:left="173"/>
      </w:pPr>
      <w:r>
        <w:rPr>
          <w:b/>
        </w:rPr>
        <w:t xml:space="preserve">☐ </w:t>
      </w:r>
      <w:r>
        <w:t>Alteração significativa no volume/tipo de dados tratados.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16 | Registro de revisão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