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CHECKLIST PARA AVALIAÇÕES TÉCNICAS SEGURAS</w:t>
      </w:r>
    </w:p>
    <w:p>
      <w:pPr>
        <w:jc w:val="center"/>
      </w:pPr>
      <w:r>
        <w:rPr>
          <w:i/>
          <w:color w:val="5C6B82"/>
          <w:sz w:val="22"/>
        </w:rPr>
        <w:t>Antes, durante e depois de varreduras — Questão 21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21 — </w:t>
      </w:r>
      <w:r>
        <w:t>Existe processo para identificar, registrar e acompanhar vulnerabilidades, configurações inadequadas e exposições em ativos e sistemas, utilizando avaliações técnicas ou varreduras quando viável e compatível com o risco?</w:t>
      </w:r>
    </w:p>
    <w:p>
      <w:r>
        <w:rPr>
          <w:b/>
        </w:rPr>
        <w:t xml:space="preserve">Evidência esperada no instrumento: </w:t>
      </w:r>
      <w:r>
        <w:t>varreduras, relatórios, alertas de fabricante, avaliações técnicas, registros de correção</w:t>
      </w:r>
    </w:p>
    <w:p>
      <w:r>
        <w:rPr>
          <w:b/>
        </w:rPr>
        <w:t xml:space="preserve">Base principal: </w:t>
      </w:r>
      <w:r>
        <w:t>NIST CSF 2.0 — ID.RA-01</w:t>
      </w:r>
    </w:p>
    <w:p/>
    <w:p>
      <w:pPr>
        <w:pStyle w:val="Heading1"/>
      </w:pPr>
      <w:r>
        <w:t>Antes</w:t>
      </w:r>
    </w:p>
    <w:p>
      <w:pPr>
        <w:ind w:left="173"/>
      </w:pPr>
      <w:r>
        <w:rPr>
          <w:b/>
        </w:rPr>
        <w:t xml:space="preserve">☐ </w:t>
      </w:r>
      <w:r>
        <w:t>Definir escopo e responsável.</w:t>
      </w:r>
    </w:p>
    <w:p>
      <w:pPr>
        <w:ind w:left="173"/>
      </w:pPr>
      <w:r>
        <w:rPr>
          <w:b/>
        </w:rPr>
        <w:t xml:space="preserve">☐ </w:t>
      </w:r>
      <w:r>
        <w:t>Confirmar ativos críticos e restrições de fabricante.</w:t>
      </w:r>
    </w:p>
    <w:p>
      <w:pPr>
        <w:ind w:left="173"/>
      </w:pPr>
      <w:r>
        <w:rPr>
          <w:b/>
        </w:rPr>
        <w:t xml:space="preserve">☐ </w:t>
      </w:r>
      <w:r>
        <w:t>Evitar varredura ativa em equipamentos médicos/legados sem aprovação.</w:t>
      </w:r>
    </w:p>
    <w:p>
      <w:pPr>
        <w:ind w:left="173"/>
      </w:pPr>
      <w:r>
        <w:rPr>
          <w:b/>
        </w:rPr>
        <w:t xml:space="preserve">☐ </w:t>
      </w:r>
      <w:r>
        <w:t>Definir janela e plano de interrupção caso ocorra impacto.</w:t>
      </w:r>
    </w:p>
    <w:p>
      <w:pPr>
        <w:ind w:left="173"/>
      </w:pPr>
      <w:r>
        <w:rPr>
          <w:b/>
        </w:rPr>
        <w:t xml:space="preserve">☐ </w:t>
      </w:r>
      <w:r>
        <w:t>Garantir backup/contingência quando o teste puder afetar serviço.</w:t>
      </w:r>
    </w:p>
    <w:p>
      <w:pPr>
        <w:pStyle w:val="Heading1"/>
      </w:pPr>
      <w:r>
        <w:t>Durante</w:t>
      </w:r>
    </w:p>
    <w:p>
      <w:pPr>
        <w:ind w:left="173"/>
      </w:pPr>
      <w:r>
        <w:rPr>
          <w:b/>
        </w:rPr>
        <w:t xml:space="preserve">☐ </w:t>
      </w:r>
      <w:r>
        <w:t>Monitorar disponibilidade dos serviços críticos.</w:t>
      </w:r>
    </w:p>
    <w:p>
      <w:pPr>
        <w:ind w:left="173"/>
      </w:pPr>
      <w:r>
        <w:rPr>
          <w:b/>
        </w:rPr>
        <w:t xml:space="preserve">☐ </w:t>
      </w:r>
      <w:r>
        <w:t>Usar perfil de varredura compatível com o ambiente.</w:t>
      </w:r>
    </w:p>
    <w:p>
      <w:pPr>
        <w:ind w:left="173"/>
      </w:pPr>
      <w:r>
        <w:rPr>
          <w:b/>
        </w:rPr>
        <w:t xml:space="preserve">☐ </w:t>
      </w:r>
      <w:r>
        <w:t>Registrar ferramenta, versão, data e escopo.</w:t>
      </w:r>
    </w:p>
    <w:p>
      <w:pPr>
        <w:ind w:left="173"/>
      </w:pPr>
      <w:r>
        <w:rPr>
          <w:b/>
        </w:rPr>
        <w:t xml:space="preserve">☐ </w:t>
      </w:r>
      <w:r>
        <w:t>Interromper se houver impacto inesperado.</w:t>
      </w:r>
    </w:p>
    <w:p>
      <w:pPr>
        <w:pStyle w:val="Heading1"/>
      </w:pPr>
      <w:r>
        <w:t>Depois</w:t>
      </w:r>
    </w:p>
    <w:p>
      <w:pPr>
        <w:ind w:left="173"/>
      </w:pPr>
      <w:r>
        <w:rPr>
          <w:b/>
        </w:rPr>
        <w:t xml:space="preserve">☐ </w:t>
      </w:r>
      <w:r>
        <w:t>Revisar falsos positivos.</w:t>
      </w:r>
    </w:p>
    <w:p>
      <w:pPr>
        <w:ind w:left="173"/>
      </w:pPr>
      <w:r>
        <w:rPr>
          <w:b/>
        </w:rPr>
        <w:t xml:space="preserve">☐ </w:t>
      </w:r>
      <w:r>
        <w:t>Relacionar achados aos ativos do inventário.</w:t>
      </w:r>
    </w:p>
    <w:p>
      <w:pPr>
        <w:ind w:left="173"/>
      </w:pPr>
      <w:r>
        <w:rPr>
          <w:b/>
        </w:rPr>
        <w:t xml:space="preserve">☐ </w:t>
      </w:r>
      <w:r>
        <w:t>Priorizar por contexto e criticidade.</w:t>
      </w:r>
    </w:p>
    <w:p>
      <w:pPr>
        <w:ind w:left="173"/>
      </w:pPr>
      <w:r>
        <w:rPr>
          <w:b/>
        </w:rPr>
        <w:t xml:space="preserve">☐ </w:t>
      </w:r>
      <w:r>
        <w:t>Abrir registros de tratamento.</w:t>
      </w:r>
    </w:p>
    <w:p>
      <w:pPr>
        <w:ind w:left="173"/>
      </w:pPr>
      <w:r>
        <w:rPr>
          <w:b/>
        </w:rPr>
        <w:t xml:space="preserve">☐ </w:t>
      </w:r>
      <w:r>
        <w:t>Guardar relatório com acesso controlado.</w:t>
      </w:r>
    </w:p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21 | Checklist de avaliação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