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MUDANÇA, SUBSTITUIÇÃO E BAIXA DE ATIVOS</w:t>
      </w:r>
    </w:p>
    <w:p>
      <w:pPr>
        <w:jc w:val="center"/>
      </w:pPr>
      <w:r>
        <w:rPr>
          <w:i/>
          <w:color w:val="5C6B82"/>
          <w:sz w:val="22"/>
        </w:rPr>
        <w:t>Histórico operacional — Questão 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22 — </w:t>
      </w:r>
      <w:r>
        <w:t>Existe procedimento para aquisição, instalação ou alteração, transferência, substituição e descarte seguro de ativos tecnológicos, com autorização e registro das mudanças relevantes?</w:t>
      </w:r>
    </w:p>
    <w:p>
      <w:r>
        <w:rPr>
          <w:b/>
        </w:rPr>
        <w:t xml:space="preserve">Evidência esperada no instrumento: </w:t>
      </w:r>
      <w:r>
        <w:t>procedimento de ciclo de vida, termos de entrega/devolução, descarte sanitizado</w:t>
      </w:r>
    </w:p>
    <w:p>
      <w:r>
        <w:rPr>
          <w:b/>
        </w:rPr>
        <w:t xml:space="preserve">Base principal: </w:t>
      </w:r>
      <w:r>
        <w:t>NIST CSF 2.0 — ID.AM-08, ID.RA-07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Sanitização de mídia: processo para tornar dados irrecuperáveis antes de reutilização/descarte.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Data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Ativo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Tipo de evento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Motivo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Mudança executada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Dados migrados?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Sanitização necessária?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Inventário atualizado?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Responsável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Evidência/arquivo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dd/mm/aaaa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ATV-___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Substituição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Fim de vida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Novo equipamento instalado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Ticket/termo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</w:tr>
    </w:tbl>
    <w:p/>
    <w:p>
      <w:pPr>
        <w:pStyle w:val="Heading2"/>
      </w:pPr>
      <w:r>
        <w:t>Eventos sugeridos</w:t>
      </w:r>
    </w:p>
    <w:p>
      <w:pPr>
        <w:ind w:left="173"/>
      </w:pPr>
      <w:r>
        <w:rPr>
          <w:b w:val="0"/>
        </w:rPr>
        <w:t xml:space="preserve">• </w:t>
      </w:r>
      <w:r>
        <w:t>Instalação inicial.</w:t>
      </w:r>
    </w:p>
    <w:p>
      <w:pPr>
        <w:ind w:left="173"/>
      </w:pPr>
      <w:r>
        <w:rPr>
          <w:b w:val="0"/>
        </w:rPr>
        <w:t xml:space="preserve">• </w:t>
      </w:r>
      <w:r>
        <w:t>Transferência entre unidades.</w:t>
      </w:r>
    </w:p>
    <w:p>
      <w:pPr>
        <w:ind w:left="173"/>
      </w:pPr>
      <w:r>
        <w:rPr>
          <w:b w:val="0"/>
        </w:rPr>
        <w:t xml:space="preserve">• </w:t>
      </w:r>
      <w:r>
        <w:t>Troca de função/uso.</w:t>
      </w:r>
    </w:p>
    <w:p>
      <w:pPr>
        <w:ind w:left="173"/>
      </w:pPr>
      <w:r>
        <w:rPr>
          <w:b w:val="0"/>
        </w:rPr>
        <w:t xml:space="preserve">• </w:t>
      </w:r>
      <w:r>
        <w:t>Substituição por falha ou fim de vida.</w:t>
      </w:r>
    </w:p>
    <w:p>
      <w:pPr>
        <w:ind w:left="173"/>
      </w:pPr>
      <w:r>
        <w:rPr>
          <w:b w:val="0"/>
        </w:rPr>
        <w:t xml:space="preserve">• </w:t>
      </w:r>
      <w:r>
        <w:t>Retorno ao fornecedor.</w:t>
      </w:r>
    </w:p>
    <w:p>
      <w:pPr>
        <w:ind w:left="173"/>
      </w:pPr>
      <w:r>
        <w:rPr>
          <w:b w:val="0"/>
        </w:rPr>
        <w:t xml:space="preserve">• </w:t>
      </w:r>
      <w:r>
        <w:t>Descarte/reciclagem.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22 | Registro de ciclo de vida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