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CADASTRO DE CONTAS INDIVIDUAIS E IDENTIFICÁVEIS</w:t>
      </w:r>
    </w:p>
    <w:p>
      <w:pPr>
        <w:jc w:val="center"/>
      </w:pPr>
      <w:r>
        <w:rPr>
          <w:i/>
          <w:color w:val="5C6B82"/>
          <w:sz w:val="21"/>
        </w:rPr>
        <w:t>Inventário de identidades — Questão 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24 — </w:t>
      </w:r>
      <w:r>
        <w:t>Os colaboradores e prestadores utilizam contas individuais e identificáveis para acessar sistemas e recursos tecnológicos?</w:t>
      </w:r>
    </w:p>
    <w:p>
      <w:r>
        <w:rPr>
          <w:b/>
        </w:rPr>
        <w:t xml:space="preserve">Evidência esperada: </w:t>
      </w:r>
      <w:r>
        <w:t>listas de usuários, diretório, relatórios de contas, política de identidade</w:t>
      </w:r>
    </w:p>
    <w:p>
      <w:r>
        <w:rPr>
          <w:b/>
        </w:rPr>
        <w:t xml:space="preserve">Base principal: </w:t>
      </w:r>
      <w:r>
        <w:t>NIST CSF 2.0 — PR.AA-01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Pessoa / prestador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Vínculo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Usuário/login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Tipo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Status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Data criação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Última revisão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Maria Exemplo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Colaborador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maria.silva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Nominal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Ativa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João Exemplo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Prestador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joao.radiologia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Nominal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Ativa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1"/>
      </w:pPr>
      <w:r>
        <w:t>Orientações de preenchimento</w:t>
      </w:r>
    </w:p>
    <w:p>
      <w:pPr>
        <w:ind w:left="173"/>
      </w:pPr>
      <w:r>
        <w:t>• Use nomes fictícios no modelo distribuído; em produção, proteja o arquivo por conter identificadores.</w:t>
      </w:r>
    </w:p>
    <w:p>
      <w:pPr>
        <w:ind w:left="173"/>
      </w:pPr>
      <w:r>
        <w:t>• Inclua contas técnicas/serviço em inventário separado ou claramente classificadas.</w:t>
      </w:r>
    </w:p>
    <w:p>
      <w:pPr>
        <w:ind w:left="173"/>
      </w:pPr>
      <w:r>
        <w:t>• Não registre senha ou fator de autenticação.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24 | Cadastro de contas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