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CONTAS NOMINATIVAS</w:t>
      </w:r>
    </w:p>
    <w:p>
      <w:pPr>
        <w:jc w:val="center"/>
      </w:pPr>
      <w:r>
        <w:rPr>
          <w:i/>
          <w:color w:val="5C6B82"/>
          <w:sz w:val="21"/>
        </w:rPr>
        <w:t>Verificação de individualização — Questão 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24 — </w:t>
      </w:r>
      <w:r>
        <w:t>Os colaboradores e prestadores utilizam contas individuais e identificáveis para acessar sistemas e recursos tecnológicos?</w:t>
      </w:r>
    </w:p>
    <w:p>
      <w:r>
        <w:rPr>
          <w:b/>
        </w:rPr>
        <w:t xml:space="preserve">Evidência esperada: </w:t>
      </w:r>
      <w:r>
        <w:t>listas de usuários, diretório, relatórios de contas, política de identidade</w:t>
      </w:r>
    </w:p>
    <w:p>
      <w:r>
        <w:rPr>
          <w:b/>
        </w:rPr>
        <w:t xml:space="preserve">Base principal: </w:t>
      </w:r>
      <w:r>
        <w:t>NIST CSF 2.0 — PR.AA-01</w:t>
      </w:r>
    </w:p>
    <w:p/>
    <w:p>
      <w:pPr>
        <w:pStyle w:val="Heading1"/>
      </w:pPr>
      <w:r>
        <w:t>Cobertura</w:t>
      </w:r>
    </w:p>
    <w:p>
      <w:pPr>
        <w:ind w:left="173"/>
      </w:pPr>
      <w:r>
        <w:t>☐ Cada colaborador possui identidade própria nos sistemas aplicáveis.</w:t>
      </w:r>
    </w:p>
    <w:p>
      <w:pPr>
        <w:ind w:left="173"/>
      </w:pPr>
      <w:r>
        <w:t>☐ Prestadores possuem contas nominativas quando o sistema suporta.</w:t>
      </w:r>
    </w:p>
    <w:p>
      <w:pPr>
        <w:ind w:left="173"/>
      </w:pPr>
      <w:r>
        <w:t>☐ Novos usuários não recebem credenciais de outra pessoa.</w:t>
      </w:r>
    </w:p>
    <w:p>
      <w:pPr>
        <w:ind w:left="173"/>
      </w:pPr>
      <w:r>
        <w:t>☐ Contas desativadas não são reutilizadas para outra pessoa.</w:t>
      </w:r>
    </w:p>
    <w:p>
      <w:pPr>
        <w:pStyle w:val="Heading1"/>
      </w:pPr>
      <w:r>
        <w:t>Rastreabilidade</w:t>
      </w:r>
    </w:p>
    <w:p>
      <w:pPr>
        <w:ind w:left="173"/>
      </w:pPr>
      <w:r>
        <w:t>☐ Login permite relacionar a ação a uma pessoa ou serviço identificado.</w:t>
      </w:r>
    </w:p>
    <w:p>
      <w:pPr>
        <w:ind w:left="173"/>
      </w:pPr>
      <w:r>
        <w:t>☐ Exceções de sistemas legados estão documentadas.</w:t>
      </w:r>
    </w:p>
    <w:p>
      <w:pPr>
        <w:ind w:left="173"/>
      </w:pPr>
      <w:r>
        <w:t>☐ Contas técnicas são diferenciadas de contas humanas.</w:t>
      </w:r>
    </w:p>
    <w:p>
      <w:pPr>
        <w:ind w:left="173"/>
      </w:pPr>
      <w:r>
        <w:t>☐ Há evidência de revisão ou conferência de usuários.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24 | Checklist de individualização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