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AÇÕES DA REVISÃO DE ACESSOS</w:t>
      </w:r>
    </w:p>
    <w:p>
      <w:pPr>
        <w:jc w:val="center"/>
      </w:pPr>
      <w:r>
        <w:rPr>
          <w:i/>
          <w:color w:val="5C6B82"/>
          <w:sz w:val="21"/>
        </w:rPr>
        <w:t>Pendências e correções — Questão 29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29 — </w:t>
      </w:r>
      <w:r>
        <w:t>As contas e permissões dos usuários são revisadas periodicamente para identificar acessos desnecessários ou excessivos?</w:t>
      </w:r>
    </w:p>
    <w:p>
      <w:r>
        <w:rPr>
          <w:b/>
        </w:rPr>
        <w:t xml:space="preserve">Evidência esperada: </w:t>
      </w:r>
      <w:r>
        <w:t>relatórios de recertificação, atas, planilhas de revisão e remoções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Recertificação de acesso: revisão periódica para confirmar se as permissões continuam necessárias.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Achado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Usuário/sistema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Prazo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Evidência de conclusão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Risco/exceção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RA-001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Conta de ex-prestador ativa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VPN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Revogar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Aberto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29 | Registro de 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