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CONFIGURAÇÃO DE SENHAS E CREDENCIAIS</w:t>
      </w:r>
    </w:p>
    <w:p>
      <w:pPr>
        <w:jc w:val="center"/>
      </w:pPr>
      <w:r>
        <w:rPr>
          <w:i/>
          <w:color w:val="5C6B82"/>
          <w:sz w:val="21"/>
        </w:rPr>
        <w:t>Verificação por sistema — Questão 32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32 — </w:t>
      </w:r>
      <w:r>
        <w:t>Existem requisitos de autenticação por senha ou frase-senha que tratem de comprimento, proteção, reutilização e proibição de compartilhamento, prevendo alteração quando houver suspeita de comprometimento ou necessidade definida?</w:t>
      </w:r>
    </w:p>
    <w:p>
      <w:r>
        <w:rPr>
          <w:b/>
        </w:rPr>
        <w:t xml:space="preserve">Evidência esperada: </w:t>
      </w:r>
      <w:r>
        <w:t>política de senha/credenciais, GPO/configurações, processo de reset e gestão de padrão</w:t>
      </w:r>
    </w:p>
    <w:p>
      <w:r>
        <w:rPr>
          <w:b/>
        </w:rPr>
        <w:t xml:space="preserve">Base principal: </w:t>
      </w:r>
      <w:r>
        <w:t>NIST CSF 2.0 — PR.AA-01, PR.AA-03</w:t>
      </w:r>
    </w:p>
    <w:p/>
    <w:p>
      <w:pPr>
        <w:pStyle w:val="Heading1"/>
      </w:pPr>
      <w:r>
        <w:t>Configuração</w:t>
      </w:r>
    </w:p>
    <w:p>
      <w:pPr>
        <w:ind w:left="173"/>
      </w:pPr>
      <w:r>
        <w:t>☐ Comprimento mínimo definido.</w:t>
      </w:r>
    </w:p>
    <w:p>
      <w:pPr>
        <w:ind w:left="173"/>
      </w:pPr>
      <w:r>
        <w:t>☐ Senha padrão do fabricante alterada.</w:t>
      </w:r>
    </w:p>
    <w:p>
      <w:pPr>
        <w:ind w:left="173"/>
      </w:pPr>
      <w:r>
        <w:t>☐ Compartilhamento proibido/orientado.</w:t>
      </w:r>
    </w:p>
    <w:p>
      <w:pPr>
        <w:ind w:left="173"/>
      </w:pPr>
      <w:r>
        <w:t>☐ Senha inicial exige troca quando aplicável.</w:t>
      </w:r>
    </w:p>
    <w:p>
      <w:pPr>
        <w:ind w:left="173"/>
      </w:pPr>
      <w:r>
        <w:t>☐ Mecanismos de bloqueio de senhas fracas/comprometidas usados quando disponíveis.</w:t>
      </w:r>
    </w:p>
    <w:p>
      <w:pPr>
        <w:pStyle w:val="Heading1"/>
      </w:pPr>
      <w:r>
        <w:t>Processo</w:t>
      </w:r>
    </w:p>
    <w:p>
      <w:pPr>
        <w:ind w:left="173"/>
      </w:pPr>
      <w:r>
        <w:t>☐ Reset exige validação de identidade.</w:t>
      </w:r>
    </w:p>
    <w:p>
      <w:pPr>
        <w:ind w:left="173"/>
      </w:pPr>
      <w:r>
        <w:t>☐ Suspeita de comprometimento dispara troca/revogação.</w:t>
      </w:r>
    </w:p>
    <w:p>
      <w:pPr>
        <w:ind w:left="173"/>
      </w:pPr>
      <w:r>
        <w:t>☐ Credenciais de serviço possuem responsável.</w:t>
      </w:r>
    </w:p>
    <w:p>
      <w:pPr>
        <w:ind w:left="173"/>
      </w:pPr>
      <w:r>
        <w:t>☐ Credenciais não ficam em arquivos/scripts sem proteção.</w:t>
      </w:r>
    </w:p>
    <w:p>
      <w:pPr>
        <w:pStyle w:val="Heading1"/>
      </w:pPr>
      <w:r>
        <w:t>Revisão</w:t>
      </w:r>
    </w:p>
    <w:p>
      <w:pPr>
        <w:ind w:left="173"/>
      </w:pPr>
      <w:r>
        <w:t>☐ Limitações de sistemas legados estão registradas.</w:t>
      </w:r>
    </w:p>
    <w:p>
      <w:pPr>
        <w:ind w:left="173"/>
      </w:pPr>
      <w:r>
        <w:t>☐ Política e configurações são revisadas após mudanças/incidentes.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GPO: Objeto de Política de Grupo; aplica configurações centralizadas em ambientes Windows/AD.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32 | Checklist de senhas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