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COMUNICADO AO USUÁRIO: BOAS PRÁTICAS DE CREDENCIAIS</w:t>
      </w:r>
    </w:p>
    <w:p>
      <w:pPr>
        <w:jc w:val="center"/>
      </w:pPr>
      <w:r>
        <w:rPr>
          <w:i/>
          <w:color w:val="5C6B82"/>
          <w:sz w:val="21"/>
        </w:rPr>
        <w:t>Material curto para treinamento — Questão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32 — </w:t>
      </w:r>
      <w:r>
        <w:t>Existem requisitos de autenticação por senha ou frase-senha que tratem de comprimento, proteção, reutilização e proibição de compartilhamento, prevendo alteração quando houver suspeita de comprometimento ou necessidade definida?</w:t>
      </w:r>
    </w:p>
    <w:p>
      <w:r>
        <w:rPr>
          <w:b/>
        </w:rPr>
        <w:t xml:space="preserve">Evidência esperada: </w:t>
      </w:r>
      <w:r>
        <w:t>política de senha/credenciais, GPO/configurações, processo de reset e gestão de padrão</w:t>
      </w:r>
    </w:p>
    <w:p>
      <w:r>
        <w:rPr>
          <w:b/>
        </w:rPr>
        <w:t xml:space="preserve">Base principal: </w:t>
      </w:r>
      <w:r>
        <w:t>NIST CSF 2.0 — PR.AA-01, PR.AA-03</w:t>
      </w:r>
    </w:p>
    <w:p/>
    <w:p>
      <w:pPr>
        <w:pStyle w:val="Heading1"/>
      </w:pPr>
      <w:r>
        <w:t>Faça</w:t>
      </w:r>
    </w:p>
    <w:p>
      <w:pPr>
        <w:ind w:left="173"/>
      </w:pPr>
      <w:r>
        <w:t>• Use frase-senha longa e única.</w:t>
      </w:r>
    </w:p>
    <w:p>
      <w:pPr>
        <w:ind w:left="173"/>
      </w:pPr>
      <w:r>
        <w:t>• Ative MFA quando disponível.</w:t>
      </w:r>
    </w:p>
    <w:p>
      <w:pPr>
        <w:ind w:left="173"/>
      </w:pPr>
      <w:r>
        <w:t>• Use gerenciador de senhas aprovado, se adotado pela clínica.</w:t>
      </w:r>
    </w:p>
    <w:p>
      <w:pPr>
        <w:ind w:left="173"/>
      </w:pPr>
      <w:r>
        <w:t>• Comunique suspeita de phishing ou senha exposta imediatamente.</w:t>
      </w:r>
    </w:p>
    <w:p>
      <w:pPr>
        <w:pStyle w:val="Heading1"/>
      </w:pPr>
      <w:r>
        <w:t>Não faça</w:t>
      </w:r>
    </w:p>
    <w:p>
      <w:pPr>
        <w:ind w:left="173"/>
      </w:pPr>
      <w:r>
        <w:t>• Não compartilhe sua senha, nem com colegas.</w:t>
      </w:r>
    </w:p>
    <w:p>
      <w:pPr>
        <w:ind w:left="173"/>
      </w:pPr>
      <w:r>
        <w:t>• Não reutilize senha corporativa em sites pessoais.</w:t>
      </w:r>
    </w:p>
    <w:p>
      <w:pPr>
        <w:ind w:left="173"/>
      </w:pPr>
      <w:r>
        <w:t>• Não envie senha por e-mail ou mensagem.</w:t>
      </w:r>
    </w:p>
    <w:p>
      <w:pPr>
        <w:ind w:left="173"/>
      </w:pPr>
      <w:r>
        <w:t>• Não aprove solicitações MFA que você não iniciou.</w:t>
      </w:r>
    </w:p>
    <w:p>
      <w:pPr>
        <w:pStyle w:val="Heading1"/>
      </w:pPr>
      <w:r>
        <w:t>Em caso de suspeita</w:t>
      </w:r>
    </w:p>
    <w:p>
      <w:pPr>
        <w:ind w:left="173"/>
      </w:pPr>
      <w:r>
        <w:t>• Troque a senha pelo canal oficial.</w:t>
      </w:r>
    </w:p>
    <w:p>
      <w:pPr>
        <w:ind w:left="173"/>
      </w:pPr>
      <w:r>
        <w:t>• Avise TI/segurança.</w:t>
      </w:r>
    </w:p>
    <w:p>
      <w:pPr>
        <w:ind w:left="173"/>
      </w:pPr>
      <w:r>
        <w:t>• Informe se clicou em link, informou credencial ou aprovou MFA.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32 | Comunicado de credenciais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