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POLÍTICA SIMPLIFICADA DE SENHAS E FRASES-SENHA</w:t>
      </w:r>
    </w:p>
    <w:p>
      <w:pPr>
        <w:jc w:val="center"/>
      </w:pPr>
      <w:r>
        <w:rPr>
          <w:i/>
          <w:color w:val="5C6B82"/>
          <w:sz w:val="21"/>
        </w:rPr>
        <w:t>Modelo para adaptação — Questão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32 — </w:t>
      </w:r>
      <w:r>
        <w:t>Existem requisitos de autenticação por senha ou frase-senha que tratem de comprimento, proteção, reutilização e proibição de compartilhamento, prevendo alteração quando houver suspeita de comprometimento ou necessidade definida?</w:t>
      </w:r>
    </w:p>
    <w:p>
      <w:r>
        <w:rPr>
          <w:b/>
        </w:rPr>
        <w:t xml:space="preserve">Evidência esperada: </w:t>
      </w:r>
      <w:r>
        <w:t>política de senha/credenciais, GPO/configurações, processo de reset e gestão de padrão</w:t>
      </w:r>
    </w:p>
    <w:p>
      <w:r>
        <w:rPr>
          <w:b/>
        </w:rPr>
        <w:t xml:space="preserve">Base principal: </w:t>
      </w:r>
      <w:r>
        <w:t>NIST CSF 2.0 — PR.AA-01, PR.AA-03</w:t>
      </w:r>
    </w:p>
    <w:p/>
    <w:p>
      <w:pPr>
        <w:pStyle w:val="Heading1"/>
      </w:pPr>
      <w:r>
        <w:t>Princípios</w:t>
      </w:r>
    </w:p>
    <w:p>
      <w:pPr>
        <w:ind w:left="173"/>
      </w:pPr>
      <w:r>
        <w:t>• Preferir senhas/frases-senha longas e difíceis de adivinhar.</w:t>
      </w:r>
    </w:p>
    <w:p>
      <w:pPr>
        <w:ind w:left="173"/>
      </w:pPr>
      <w:r>
        <w:t>• Proibir compartilhamento de credenciais pessoais.</w:t>
      </w:r>
    </w:p>
    <w:p>
      <w:pPr>
        <w:ind w:left="173"/>
      </w:pPr>
      <w:r>
        <w:t>• Evitar reutilização de senha corporativa em serviços pessoais.</w:t>
      </w:r>
    </w:p>
    <w:p>
      <w:pPr>
        <w:ind w:left="173"/>
      </w:pPr>
      <w:r>
        <w:t>• Alterar senha quando houver suspeita/evidência de comprometimento ou necessidade definida.</w:t>
      </w:r>
    </w:p>
    <w:p>
      <w:pPr>
        <w:ind w:left="173"/>
      </w:pPr>
      <w:r>
        <w:t>• Aplicar MFA nos acessos de maior risco quando suportado.</w:t>
      </w:r>
    </w:p>
    <w:p>
      <w:pPr>
        <w:pStyle w:val="Heading1"/>
      </w:pPr>
      <w:r>
        <w:t>Requisitos a definir pela clínica</w:t>
      </w:r>
    </w:p>
    <w:p>
      <w:pPr>
        <w:ind w:left="173"/>
      </w:pPr>
      <w:r>
        <w:t>• Comprimento mínimo compatível com os sistemas.</w:t>
      </w:r>
    </w:p>
    <w:p>
      <w:pPr>
        <w:ind w:left="173"/>
      </w:pPr>
      <w:r>
        <w:t>• Bloqueio de senhas comuns/comprometidas quando a plataforma permitir.</w:t>
      </w:r>
    </w:p>
    <w:p>
      <w:pPr>
        <w:ind w:left="173"/>
      </w:pPr>
      <w:r>
        <w:t>• Histórico/reutilização quando tecnicamente aplicável.</w:t>
      </w:r>
    </w:p>
    <w:p>
      <w:pPr>
        <w:ind w:left="173"/>
      </w:pPr>
      <w:r>
        <w:t>• Tratamento de senhas iniciais e resets.</w:t>
      </w:r>
    </w:p>
    <w:p>
      <w:pPr>
        <w:ind w:left="173"/>
      </w:pPr>
      <w:r>
        <w:t>• Armazenamento seguro de credenciais administrativas/serviço.</w:t>
      </w:r>
    </w:p>
    <w:p>
      <w:pPr>
        <w:pStyle w:val="Heading1"/>
      </w:pPr>
      <w:r>
        <w:t>Exceções</w:t>
      </w:r>
    </w:p>
    <w:p>
      <w:pPr>
        <w:ind w:left="173"/>
      </w:pPr>
      <w:r>
        <w:t>• Sistemas legados devem ter limitação registrada e controle compensatório.</w:t>
      </w:r>
    </w:p>
    <w:p>
      <w:pPr>
        <w:ind w:left="173"/>
      </w:pPr>
      <w:r>
        <w:t>• Nunca reduzir controles silenciosamente para acomodar limitações.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32 | Política de senhas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