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PRIMEIRAS AÇÕES EM EVENTO SUSPEITO</w:t>
      </w:r>
    </w:p>
    <w:p>
      <w:pPr>
        <w:jc w:val="center"/>
      </w:pPr>
      <w:r>
        <w:rPr>
          <w:i/>
          <w:color w:val="5C6B82"/>
          <w:sz w:val="21"/>
        </w:rPr>
        <w:t>Usuário e TI — Questão 35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35 — </w:t>
      </w:r>
      <w:r>
        <w:t>Os usuários são orientados a reconhecer e comunicar phishing, engenharia social, perda de dispositivos e outros eventos suspeitos?</w:t>
      </w:r>
    </w:p>
    <w:p>
      <w:r>
        <w:rPr>
          <w:b/>
        </w:rPr>
        <w:t xml:space="preserve">Evidência esperada: </w:t>
      </w:r>
      <w:r>
        <w:t>treinamentos, campanhas, simulações, comunicados e canal de reporte</w:t>
      </w:r>
    </w:p>
    <w:p>
      <w:r>
        <w:rPr>
          <w:b/>
        </w:rPr>
        <w:t xml:space="preserve">Base principal: </w:t>
      </w:r>
      <w:r>
        <w:t>NIST CSF 2.0 — PR.AT-01</w:t>
      </w:r>
    </w:p>
    <w:p/>
    <w:p>
      <w:pPr>
        <w:pStyle w:val="Heading1"/>
      </w:pPr>
      <w:r>
        <w:t>Para o usuário</w:t>
      </w:r>
    </w:p>
    <w:p>
      <w:pPr>
        <w:ind w:left="173"/>
      </w:pPr>
      <w:r>
        <w:t>☐ Parar a interação com mensagem/site suspeito.</w:t>
      </w:r>
    </w:p>
    <w:p>
      <w:pPr>
        <w:ind w:left="173"/>
      </w:pPr>
      <w:r>
        <w:t>☐ Comunicar imediatamente pelo canal oficial.</w:t>
      </w:r>
    </w:p>
    <w:p>
      <w:pPr>
        <w:ind w:left="173"/>
      </w:pPr>
      <w:r>
        <w:t>☐ Informar se credencial ou MFA foi utilizado.</w:t>
      </w:r>
    </w:p>
    <w:p>
      <w:pPr>
        <w:ind w:left="173"/>
      </w:pPr>
      <w:r>
        <w:t>☐ Preservar mensagem/evidência conforme orientação.</w:t>
      </w:r>
    </w:p>
    <w:p>
      <w:pPr>
        <w:ind w:left="173"/>
      </w:pPr>
      <w:r>
        <w:t>☐ Não tentar “resolver sozinho” apagando tudo.</w:t>
      </w:r>
    </w:p>
    <w:p>
      <w:pPr>
        <w:pStyle w:val="Heading1"/>
      </w:pPr>
      <w:r>
        <w:t>Para TI/segurança</w:t>
      </w:r>
    </w:p>
    <w:p>
      <w:pPr>
        <w:ind w:left="173"/>
      </w:pPr>
      <w:r>
        <w:t>☐ Registrar horário e usuário.</w:t>
      </w:r>
    </w:p>
    <w:p>
      <w:pPr>
        <w:ind w:left="173"/>
      </w:pPr>
      <w:r>
        <w:t>☐ Avaliar redefinição de credencial/revogação de sessão.</w:t>
      </w:r>
    </w:p>
    <w:p>
      <w:pPr>
        <w:ind w:left="173"/>
      </w:pPr>
      <w:r>
        <w:t>☐ Verificar e-mail, endpoint e logs disponíveis.</w:t>
      </w:r>
    </w:p>
    <w:p>
      <w:pPr>
        <w:ind w:left="173"/>
      </w:pPr>
      <w:r>
        <w:t>☐ Conter dispositivo quando houver suspeita de malware, conforme procedimento.</w:t>
      </w:r>
    </w:p>
    <w:p>
      <w:pPr>
        <w:ind w:left="173"/>
      </w:pPr>
      <w:r>
        <w:t>☐ Escalar incidente se houver dados/sistemas afetados.</w:t>
      </w:r>
    </w:p>
    <w:p>
      <w:pPr>
        <w:pStyle w:val="Heading1"/>
      </w:pPr>
      <w:r>
        <w:t>Perda/roubo de dispositivo</w:t>
      </w:r>
    </w:p>
    <w:p>
      <w:pPr>
        <w:ind w:left="173"/>
      </w:pPr>
      <w:r>
        <w:t>☐ Registrar dispositivo e usuário.</w:t>
      </w:r>
    </w:p>
    <w:p>
      <w:pPr>
        <w:ind w:left="173"/>
      </w:pPr>
      <w:r>
        <w:t>☐ Bloquear/revogar acessos quando necessário.</w:t>
      </w:r>
    </w:p>
    <w:p>
      <w:pPr>
        <w:ind w:left="173"/>
      </w:pPr>
      <w:r>
        <w:t>☐ Executar MDM/remote wipe quando disponível e apropriado.</w:t>
      </w:r>
    </w:p>
    <w:p>
      <w:pPr>
        <w:ind w:left="173"/>
      </w:pPr>
      <w:r>
        <w:t>☐ Avaliar dados locais e necessidade de resposta a incidente.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MDM: gerenciamento central de dispositivos móveis, como celulares e tablets.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Endpoint: dispositivo final conectado à rede, como computador ou servidor.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35 | Checklist de evento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