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CHECKLIST DE REVISÃO DE FINALIDADES E BASES LEGAIS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36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As finalidades e as bases legais das principais operações de tratamento de dados pessoais e dados pessoais sensíveis estão identificadas?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Verificar se o registro permanece coerente quando processos, sistemas ou parceiros mudam.</w:t>
      </w:r>
    </w:p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Checklist / regras de uso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Processos novos foram incluídos?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Finalidades continuam iguais às praticadas?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Dados coletados correspondem à finalidade registrada?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Hipótese legal continua adequada ao contexto?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Novos sistemas/integrações foram registrados?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Novos terceiros/compartilhamentos foram incluídos?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Responsáveis e data de revisão estão atualizados?</w:t>
      </w:r>
    </w:p>
    <w:p>
      <w:pPr>
        <w:pStyle w:val="ListBullet"/>
        <w:spacing w:after="20"/>
      </w:pPr>
      <w:r>
        <w:rPr>
          <w:rFonts w:ascii="Liberation Sans" w:hAnsi="Liberation Sans"/>
          <w:color w:val="475569"/>
          <w:sz w:val="17"/>
        </w:rPr>
        <w:t>Pendências jurídicas estão registradas e acompanhadas?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Modelo de Registro das Operações de Tratamento para Agentes de Tratamento de Pequeno Porte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