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Liberation Sans" w:hAnsi="Liberation Sans"/>
          <w:b/>
          <w:color w:val="4F46E5"/>
          <w:sz w:val="15"/>
        </w:rPr>
        <w:t>INSTRUMENTO DE AUTOAVALIAÇÃO DE CONTROLES DE SEGURANÇA CIBERNÉTICA</w:t>
      </w:r>
    </w:p>
    <w:p>
      <w:pPr>
        <w:pStyle w:val="Title"/>
        <w:spacing w:after="20"/>
      </w:pPr>
      <w:r>
        <w:rPr>
          <w:rFonts w:ascii="Liberation Sans" w:hAnsi="Liberation Sans"/>
          <w:b/>
          <w:color w:val="0F172A"/>
          <w:sz w:val="36"/>
        </w:rPr>
        <w:t>PROCEDIMENTO DE REVISÃO E APLICAÇÃO DA RETENÇÃO</w:t>
      </w:r>
    </w:p>
    <w:p>
      <w:pPr>
        <w:spacing w:after="80"/>
      </w:pPr>
      <w:r>
        <w:rPr>
          <w:rFonts w:ascii="Liberation Sans" w:hAnsi="Liberation Sans"/>
          <w:color w:val="475569"/>
          <w:sz w:val="17"/>
        </w:rPr>
        <w:t>Material editável de apoio — Questão 39 | D04 — Proteção de dados, LGPD e compartilhamento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FDBFE"/>
          <w:left w:val="single" w:sz="6" w:color="BFDBFE"/>
          <w:bottom w:val="single" w:sz="6" w:color="BFDBFE"/>
          <w:right w:val="single" w:sz="6" w:color="BFDBFE"/>
          <w:insideH w:val="single" w:sz="6" w:color="BFDBFE"/>
          <w:insideV w:val="single" w:sz="6" w:color="BFDBFE"/>
        </w:tblBorders>
      </w:tblPr>
      <w:tblGrid>
        <w:gridCol w:w="15624"/>
      </w:tblGrid>
      <w:tr>
        <w:tc>
          <w:tcPr>
            <w:tcW w:type="dxa" w:w="15624"/>
            <w:shd w:fill="EFF6FF"/>
          </w:tcPr>
          <w:p>
            <w:r>
              <w:t>Questão: Existem critérios ou prazos de retenção definidos para as principais categorias de cadastros, documentos, exames, imagens, laudos, logs e demais informações, considerando obrigações assistenciais, legais e contratuais, inclusive as regras aplicáveis ao prontuário do paciente?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5624"/>
      </w:tblGrid>
      <w:tr>
        <w:tc>
          <w:tcPr>
            <w:tcW w:type="dxa" w:w="15624"/>
            <w:shd w:fill="FFFBEB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Uso responsável: </w:t>
            </w:r>
            <w:r>
              <w:rPr>
                <w:rFonts w:ascii="Liberation Sans" w:hAnsi="Liberation Sans"/>
                <w:color w:val="475569"/>
                <w:sz w:val="17"/>
              </w:rPr>
              <w:t>Adapte à realidade da clínica e valide requisitos legais, assistenciais, regulatórios e contratuais aplicáveis. Este modelo apoia o controle, mas não substitui análise jurídica nem orientação de conselho profissional ou autoridade competente.</w:t>
            </w:r>
          </w:p>
        </w:tc>
      </w:tr>
    </w:tbl>
    <w:p>
      <w:pPr>
        <w:pStyle w:val="Heading1"/>
        <w:spacing w:before="100" w:after="60"/>
        <w:keepNext/>
      </w:pPr>
      <w:r>
        <w:rPr>
          <w:rFonts w:ascii="Liberation Sans" w:hAnsi="Liberation Sans"/>
          <w:b/>
          <w:color w:val="0F172A"/>
          <w:sz w:val="22"/>
        </w:rPr>
        <w:t>Objetivo</w:t>
      </w:r>
    </w:p>
    <w:p>
      <w:pPr>
        <w:spacing w:after="60"/>
      </w:pPr>
      <w:r>
        <w:rPr>
          <w:rFonts w:ascii="Liberation Sans" w:hAnsi="Liberation Sans"/>
          <w:color w:val="475569"/>
          <w:sz w:val="17"/>
        </w:rPr>
        <w:t>Estabelecer governança mínima para revisar prazos e aplicar descarte/arquivamento.</w:t>
      </w:r>
    </w:p>
    <w:p>
      <w:pPr>
        <w:pStyle w:val="Heading1"/>
        <w:spacing w:before="100" w:after="60"/>
        <w:keepNext/>
      </w:pPr>
      <w:r>
        <w:rPr>
          <w:rFonts w:ascii="Liberation Sans" w:hAnsi="Liberation Sans"/>
          <w:b/>
          <w:color w:val="0F172A"/>
          <w:sz w:val="22"/>
        </w:rPr>
        <w:t>Passo a passo</w:t>
      </w:r>
    </w:p>
    <w:p>
      <w:pPr>
        <w:spacing w:after="20"/>
      </w:pPr>
      <w:r>
        <w:rPr>
          <w:rFonts w:ascii="Liberation Sans" w:hAnsi="Liberation Sans"/>
          <w:b/>
          <w:color w:val="4F46E5"/>
          <w:sz w:val="17"/>
        </w:rPr>
        <w:t xml:space="preserve">1. </w:t>
      </w:r>
      <w:r>
        <w:rPr>
          <w:rFonts w:ascii="Liberation Sans" w:hAnsi="Liberation Sans"/>
          <w:color w:val="475569"/>
          <w:sz w:val="17"/>
        </w:rPr>
        <w:t>Inventariar categorias de informação e repositórios.</w:t>
      </w:r>
    </w:p>
    <w:p>
      <w:pPr>
        <w:spacing w:after="20"/>
      </w:pPr>
      <w:r>
        <w:t>2. Levantar obrigações assistenciais, legais e contratuais aplicáveis; para prontuários, considerar expressamente a Lei nº 13.787/2018, art. 6º.</w:t>
      </w:r>
    </w:p>
    <w:p>
      <w:pPr>
        <w:spacing w:after="20"/>
      </w:pPr>
      <w:r>
        <w:t>3. Definir prazo ou critério por categoria e registrar a fonte/justificativa; não aplicar automaticamente o mesmo prazo a prontuários, imagens, logs e cadastros sem análise.</w:t>
      </w:r>
    </w:p>
    <w:p>
      <w:pPr>
        <w:spacing w:after="20"/>
      </w:pPr>
      <w:r>
        <w:rPr>
          <w:rFonts w:ascii="Liberation Sans" w:hAnsi="Liberation Sans"/>
          <w:b/>
          <w:color w:val="4F46E5"/>
          <w:sz w:val="17"/>
        </w:rPr>
        <w:t xml:space="preserve">4. </w:t>
      </w:r>
      <w:r>
        <w:rPr>
          <w:rFonts w:ascii="Liberation Sans" w:hAnsi="Liberation Sans"/>
          <w:color w:val="475569"/>
          <w:sz w:val="17"/>
        </w:rPr>
        <w:t>Validar capacidade dos sistemas para retenção, arquivamento e exclusão.</w:t>
      </w:r>
    </w:p>
    <w:p>
      <w:pPr>
        <w:spacing w:after="20"/>
      </w:pPr>
      <w:r>
        <w:rPr>
          <w:rFonts w:ascii="Liberation Sans" w:hAnsi="Liberation Sans"/>
          <w:b/>
          <w:color w:val="4F46E5"/>
          <w:sz w:val="17"/>
        </w:rPr>
        <w:t xml:space="preserve">5. </w:t>
      </w:r>
      <w:r>
        <w:rPr>
          <w:rFonts w:ascii="Liberation Sans" w:hAnsi="Liberation Sans"/>
          <w:color w:val="475569"/>
          <w:sz w:val="17"/>
        </w:rPr>
        <w:t>Definir tratamento de exceções e suspensão de descarte.</w:t>
      </w:r>
    </w:p>
    <w:p>
      <w:pPr>
        <w:spacing w:after="20"/>
      </w:pPr>
      <w:r>
        <w:t>6. Executar descarte/arquivamento somente quando permitido, preservando sigilo/confidencialidade e registrando a destinação quando aplicável.</w:t>
      </w:r>
    </w:p>
    <w:p>
      <w:pPr>
        <w:spacing w:after="20"/>
      </w:pPr>
      <w:r>
        <w:rPr>
          <w:rFonts w:ascii="Liberation Sans" w:hAnsi="Liberation Sans"/>
          <w:b/>
          <w:color w:val="4F46E5"/>
          <w:sz w:val="17"/>
        </w:rPr>
        <w:t xml:space="preserve">7. </w:t>
      </w:r>
      <w:r>
        <w:rPr>
          <w:rFonts w:ascii="Liberation Sans" w:hAnsi="Liberation Sans"/>
          <w:color w:val="475569"/>
          <w:sz w:val="17"/>
        </w:rPr>
        <w:t>Revisar a tabela periodicamente e após mudança normativa ou de processo.</w:t>
      </w:r>
    </w:p>
    <w:p>
      <w:pPr>
        <w:pStyle w:val="Heading2"/>
        <w:spacing w:before="100" w:after="60"/>
        <w:keepNext/>
      </w:pPr>
      <w:r>
        <w:rPr>
          <w:rFonts w:ascii="Liberation Sans" w:hAnsi="Liberation Sans"/>
          <w:b/>
          <w:color w:val="0F172A"/>
          <w:sz w:val="19"/>
        </w:rPr>
        <w:t>Referências de apoio</w:t>
      </w:r>
    </w:p>
    <w:p>
      <w:pPr>
        <w:spacing w:after="0"/>
      </w:pPr>
      <w:r>
        <w:t>LGPD — Lei nº 13.709/2018 (texto vigente)  •  Lei nº 13.787/2018, art. 6º (prontuário: mínimo de 20 anos a partir do último registro antes da possibilidade de eliminação, observadas as condições e regras específicas aplicáveis)</w:t>
      </w:r>
    </w:p>
    <w:sectPr w:rsidR="00FC693F" w:rsidRPr="0006063C" w:rsidSect="00034616">
      <w:footerReference w:type="default" r:id="rId9"/>
      <w:pgSz w:w="16834" w:h="11909" w:orient="landscape"/>
      <w:pgMar w:top="547" w:right="605" w:bottom="547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3"/>
      </w:rPr>
      <w:t>Modelo de apoio ao instrumento — adapte, aprove e proteja conforme a realidade da organização.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