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EXCEÇÕES E SUSPENSÃO DE DESCARTE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39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Existem critérios ou prazos de retenção definidos para as principais categorias de cadastros, documentos, exames, imagens, laudos, logs e demais informações, considerando obrigações assistenciais, legais e contratuais, inclusive as regras aplicáveis ao prontuário do paciente?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t>Controlar situações em que o descarte programado precisa ser suspenso ou ajustado. Uma exceção operacional não pode reduzir prazo mínimo legal ou permitir eliminação quando a guarda ainda for obrigatória.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Exceções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Categoria/registro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Início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Término/condição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Aprovador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Onde está protegido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Ação após encerramento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Exemplo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Litígio/auditoria/investigação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Até liberação formal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Responsável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Repositório restrito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Retomar regra de retenção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Lei nº 13.787/2018, art. 6º (prontuário: mínimo de 20 anos a partir do último registro antes da possibilidade de eliminação, observadas as condições e regras específicas aplicáveis)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