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TABELA DE TEMPORALIDADE E RETENÇÃO DE INFORMAÇÕES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39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>
              <w:t>Questão: Existem critérios ou prazos de retenção definidos para as principais categorias de cadastros, documentos, exames, imagens, laudos, logs e demais informações, considerando obrigações assistenciais, legais e contratuais, inclusive as regras aplicáveis ao prontuário do paciente?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Registrar critérios e prazos sem presumir um prazo único para todas as categorias.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Tabela de retenção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Exemplos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Sistema/local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Critério/prazo definido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Base assistencial/legal/contratual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Destino ao fim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Revisão</w:t>
            </w:r>
          </w:p>
        </w:tc>
      </w:tr>
      <w:tr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Imagens e laudos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DICOM, laudos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PACS/RIS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definir conforme obrigação aplicável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Registrar norma/justificativa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Excluir/arquivar conforme regra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RT + privacidade + TI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dd/mm/aaaa</w:t>
            </w:r>
          </w:p>
        </w:tc>
      </w:tr>
      <w:tr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Logs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Acesso/auditoria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Servidores/sistemas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definir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Necessidade de segurança/contrato/regra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Expurgo controlado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TI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dd/mm/aaaa</w:t>
            </w:r>
          </w:p>
        </w:tc>
      </w:tr>
      <w:tr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1953"/>
          </w:tcPr>
          <w:p>
            <w:r>
              <w:t>Prontuário do paciente</w:t>
            </w:r>
          </w:p>
        </w:tc>
        <w:tc>
          <w:tcPr>
            <w:tcW w:type="dxa" w:w="1953"/>
          </w:tcPr>
          <w:p>
            <w:r>
              <w:t>Registros clínicos que compõem o prontuário</w:t>
            </w:r>
          </w:p>
        </w:tc>
        <w:tc>
          <w:tcPr>
            <w:tcW w:type="dxa" w:w="1953"/>
          </w:tcPr>
          <w:p>
            <w:r>
              <w:t>PEP/RIS/PACS/GED conforme arquitetura</w:t>
            </w:r>
          </w:p>
        </w:tc>
        <w:tc>
          <w:tcPr>
            <w:tcW w:type="dxa" w:w="1953"/>
          </w:tcPr>
          <w:p>
            <w:r>
              <w:t>Mínimo legal: 20 anos a partir do último registro antes da possibilidade de eliminação; validar regras específicas/maiores</w:t>
            </w:r>
          </w:p>
        </w:tc>
        <w:tc>
          <w:tcPr>
            <w:tcW w:type="dxa" w:w="1953"/>
          </w:tcPr>
          <w:p>
            <w:r>
              <w:t>Lei nº 13.787/2018 art. 6º + demais obrigações aplicáveis</w:t>
            </w:r>
          </w:p>
        </w:tc>
        <w:tc>
          <w:tcPr>
            <w:tcW w:type="dxa" w:w="1953"/>
          </w:tcPr>
          <w:p>
            <w:r>
              <w:t>Eliminar/devolver/arquivar somente quando juridicamente permitido e com sigilo</w:t>
            </w:r>
          </w:p>
        </w:tc>
        <w:tc>
          <w:tcPr>
            <w:tcW w:type="dxa" w:w="1953"/>
          </w:tcPr>
          <w:p>
            <w:r>
              <w:t>RT + privacidade + gestão documental</w:t>
            </w:r>
          </w:p>
        </w:tc>
        <w:tc>
          <w:tcPr>
            <w:tcW w:type="dxa" w:w="1953"/>
          </w:tcPr>
          <w:p>
            <w:r>
              <w:t>dd/mm/aaaa</w:t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t>LGPD — Lei nº 13.709/2018 (texto vigente)  •  NIST Cybersecurity Framework 2.0  •  Lei nº 13.787/2018, art. 6º (prontuário: mínimo de 20 anos a partir do último registro antes da possibilidade de eliminação, observadas as condições e regras específicas aplicáveis)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