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Liberation Sans" w:hAnsi="Liberation Sans"/>
          <w:b/>
          <w:color w:val="4F46E5"/>
          <w:sz w:val="15"/>
        </w:rPr>
        <w:t>INSTRUMENTO DE AUTOAVALIAÇÃO DE CONTROLES DE SEGURANÇA CIBERNÉTICA</w:t>
      </w:r>
    </w:p>
    <w:p>
      <w:pPr>
        <w:pStyle w:val="Title"/>
        <w:spacing w:after="20"/>
      </w:pPr>
      <w:r>
        <w:rPr>
          <w:rFonts w:ascii="Liberation Sans" w:hAnsi="Liberation Sans"/>
          <w:b/>
          <w:color w:val="0F172A"/>
          <w:sz w:val="36"/>
        </w:rPr>
        <w:t>PROCEDIMENTO DE DESCARTE SEGURO FÍSICO E DIGITAL</w:t>
      </w:r>
    </w:p>
    <w:p>
      <w:pPr>
        <w:spacing w:after="80"/>
      </w:pPr>
      <w:r>
        <w:rPr>
          <w:rFonts w:ascii="Liberation Sans" w:hAnsi="Liberation Sans"/>
          <w:color w:val="475569"/>
          <w:sz w:val="17"/>
        </w:rPr>
        <w:t>Material editável de apoio — Questão 40 | D04 — Proteção de dados, LGPD e compartilhamento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DBFE"/>
          <w:left w:val="single" w:sz="6" w:color="BFDBFE"/>
          <w:bottom w:val="single" w:sz="6" w:color="BFDBFE"/>
          <w:right w:val="single" w:sz="6" w:color="BFDBFE"/>
          <w:insideH w:val="single" w:sz="6" w:color="BFDBFE"/>
          <w:insideV w:val="single" w:sz="6" w:color="BFDBFE"/>
        </w:tblBorders>
      </w:tblPr>
      <w:tblGrid>
        <w:gridCol w:w="15624"/>
      </w:tblGrid>
      <w:tr>
        <w:tc>
          <w:tcPr>
            <w:tcW w:type="dxa" w:w="15624"/>
            <w:shd w:fill="EFF6FF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7"/>
              </w:rPr>
              <w:t>Existe procedimento seguro para descarte de documentos físicos, mídias, equipamentos e dados digitais?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624"/>
      </w:tblGrid>
      <w:tr>
        <w:tc>
          <w:tcPr>
            <w:tcW w:type="dxa" w:w="15624"/>
            <w:shd w:fill="FFFBEB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Uso responsável: </w:t>
            </w:r>
            <w:r>
              <w:rPr>
                <w:rFonts w:ascii="Liberation Sans" w:hAnsi="Liberation Sans"/>
                <w:color w:val="475569"/>
                <w:sz w:val="17"/>
              </w:rPr>
              <w:t>Adapte à realidade da clínica e valide requisitos legais, assistenciais, regulatórios e contratuais aplicáveis. Este modelo apoia o controle, mas não substitui análise jurídica nem orientação de conselho profissional ou autoridade competente.</w:t>
            </w:r>
          </w:p>
        </w:tc>
      </w:tr>
    </w:tbl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Objetivo</w:t>
      </w:r>
    </w:p>
    <w:p>
      <w:pPr>
        <w:spacing w:after="60"/>
      </w:pPr>
      <w:r>
        <w:rPr>
          <w:rFonts w:ascii="Liberation Sans" w:hAnsi="Liberation Sans"/>
          <w:color w:val="475569"/>
          <w:sz w:val="17"/>
        </w:rPr>
        <w:t>Padronizar descarte de papel, mídias, discos, equipamentos e arquivos digitais.</w:t>
      </w:r>
    </w:p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Passo a passo</w:t>
      </w:r>
    </w:p>
    <w:p>
      <w:pPr>
        <w:spacing w:after="20"/>
      </w:pPr>
      <w:r>
        <w:rPr>
          <w:rFonts w:ascii="Liberation Sans" w:hAnsi="Liberation Sans"/>
          <w:b/>
          <w:color w:val="4F46E5"/>
          <w:sz w:val="17"/>
        </w:rPr>
        <w:t xml:space="preserve">1. </w:t>
      </w:r>
      <w:r>
        <w:rPr>
          <w:rFonts w:ascii="Liberation Sans" w:hAnsi="Liberation Sans"/>
          <w:color w:val="475569"/>
          <w:sz w:val="17"/>
        </w:rPr>
        <w:t>Confirmar que o item pode ser descartado segundo a regra de retenção.</w:t>
      </w:r>
    </w:p>
    <w:p>
      <w:pPr>
        <w:spacing w:after="20"/>
      </w:pPr>
      <w:r>
        <w:rPr>
          <w:rFonts w:ascii="Liberation Sans" w:hAnsi="Liberation Sans"/>
          <w:b/>
          <w:color w:val="4F46E5"/>
          <w:sz w:val="17"/>
        </w:rPr>
        <w:t xml:space="preserve">2. </w:t>
      </w:r>
      <w:r>
        <w:rPr>
          <w:rFonts w:ascii="Liberation Sans" w:hAnsi="Liberation Sans"/>
          <w:color w:val="475569"/>
          <w:sz w:val="17"/>
        </w:rPr>
        <w:t>Classificar o suporte: papel, mídia removível, disco, equipamento, arquivo digital ou serviço externo.</w:t>
      </w:r>
    </w:p>
    <w:p>
      <w:pPr>
        <w:spacing w:after="20"/>
      </w:pPr>
      <w:r>
        <w:rPr>
          <w:rFonts w:ascii="Liberation Sans" w:hAnsi="Liberation Sans"/>
          <w:b/>
          <w:color w:val="4F46E5"/>
          <w:sz w:val="17"/>
        </w:rPr>
        <w:t xml:space="preserve">3. </w:t>
      </w:r>
      <w:r>
        <w:rPr>
          <w:rFonts w:ascii="Liberation Sans" w:hAnsi="Liberation Sans"/>
          <w:color w:val="475569"/>
          <w:sz w:val="17"/>
        </w:rPr>
        <w:t>Selecionar método compatível com o risco e capacidade técnica.</w:t>
      </w:r>
    </w:p>
    <w:p>
      <w:pPr>
        <w:spacing w:after="20"/>
      </w:pPr>
      <w:r>
        <w:rPr>
          <w:rFonts w:ascii="Liberation Sans" w:hAnsi="Liberation Sans"/>
          <w:b/>
          <w:color w:val="4F46E5"/>
          <w:sz w:val="17"/>
        </w:rPr>
        <w:t xml:space="preserve">4. </w:t>
      </w:r>
      <w:r>
        <w:rPr>
          <w:rFonts w:ascii="Liberation Sans" w:hAnsi="Liberation Sans"/>
          <w:color w:val="475569"/>
          <w:sz w:val="17"/>
        </w:rPr>
        <w:t>Evitar descarte comum de documentos/mídias com dados sensíveis.</w:t>
      </w:r>
    </w:p>
    <w:p>
      <w:pPr>
        <w:spacing w:after="20"/>
      </w:pPr>
      <w:r>
        <w:rPr>
          <w:rFonts w:ascii="Liberation Sans" w:hAnsi="Liberation Sans"/>
          <w:b/>
          <w:color w:val="4F46E5"/>
          <w:sz w:val="17"/>
        </w:rPr>
        <w:t xml:space="preserve">5. </w:t>
      </w:r>
      <w:r>
        <w:rPr>
          <w:rFonts w:ascii="Liberation Sans" w:hAnsi="Liberation Sans"/>
          <w:color w:val="475569"/>
          <w:sz w:val="17"/>
        </w:rPr>
        <w:t>Quando houver fornecedor, verificar obrigação de confidencialidade e evidência do serviço.</w:t>
      </w:r>
    </w:p>
    <w:p>
      <w:pPr>
        <w:spacing w:after="20"/>
      </w:pPr>
      <w:r>
        <w:rPr>
          <w:rFonts w:ascii="Liberation Sans" w:hAnsi="Liberation Sans"/>
          <w:b/>
          <w:color w:val="4F46E5"/>
          <w:sz w:val="17"/>
        </w:rPr>
        <w:t xml:space="preserve">6. </w:t>
      </w:r>
      <w:r>
        <w:rPr>
          <w:rFonts w:ascii="Liberation Sans" w:hAnsi="Liberation Sans"/>
          <w:color w:val="475569"/>
          <w:sz w:val="17"/>
        </w:rPr>
        <w:t>Registrar descarte de itens relevantes e cadeia de custódia quando necessário.</w:t>
      </w:r>
    </w:p>
    <w:p>
      <w:pPr>
        <w:spacing w:after="20"/>
      </w:pPr>
      <w:r>
        <w:rPr>
          <w:rFonts w:ascii="Liberation Sans" w:hAnsi="Liberation Sans"/>
          <w:b/>
          <w:color w:val="4F46E5"/>
          <w:sz w:val="17"/>
        </w:rPr>
        <w:t xml:space="preserve">7. </w:t>
      </w:r>
      <w:r>
        <w:rPr>
          <w:rFonts w:ascii="Liberation Sans" w:hAnsi="Liberation Sans"/>
          <w:color w:val="475569"/>
          <w:sz w:val="17"/>
        </w:rPr>
        <w:t>Atualizar inventário/patrimônio e encerrar acessos associados.</w:t>
      </w:r>
    </w:p>
    <w:p>
      <w:pPr>
        <w:pStyle w:val="Heading2"/>
        <w:spacing w:before="100" w:after="60"/>
        <w:keepNext/>
      </w:pPr>
      <w:r>
        <w:rPr>
          <w:rFonts w:ascii="Liberation Sans" w:hAnsi="Liberation Sans"/>
          <w:b/>
          <w:color w:val="0F172A"/>
          <w:sz w:val="19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4"/>
        </w:rPr>
        <w:t>LGPD — Lei nº 13.709/2018 (texto vigente)</w:t>
      </w:r>
      <w:r>
        <w:t xml:space="preserve">  •  </w:t>
      </w:r>
      <w:r>
        <w:rPr>
          <w:rFonts w:ascii="Liberation Sans" w:hAnsi="Liberation Sans"/>
          <w:color w:val="475569"/>
          <w:sz w:val="14"/>
        </w:rPr>
        <w:t>ANPD — Guia de Segurança da Informação para Agentes de Tratamento de Pequeno Porte + checklist</w:t>
      </w:r>
      <w:r>
        <w:t xml:space="preserve">  •  </w:t>
      </w:r>
      <w:r>
        <w:rPr>
          <w:rFonts w:ascii="Liberation Sans" w:hAnsi="Liberation Sans"/>
          <w:color w:val="475569"/>
          <w:sz w:val="14"/>
        </w:rPr>
        <w:t>NIST Cybersecurity Framework 2.0</w:t>
      </w:r>
    </w:p>
    <w:sectPr w:rsidR="00FC693F" w:rsidRPr="0006063C" w:rsidSect="00034616">
      <w:footerReference w:type="default" r:id="rId9"/>
      <w:pgSz w:w="16834" w:h="11909" w:orient="landscape"/>
      <w:pgMar w:top="547" w:right="605" w:bottom="547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3"/>
      </w:rPr>
      <w:t>Modelo de apoio ao instrumento — adapte, aprove e proteja conforme a realidade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