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PROCEDIMENTO DE ATUALIZAÇÃO DO REGISTRO DE TRATAMENTO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mantém registro das principais operações de tratamento de dados pessoais, incluindo sistemas, finalidades, compartilhamentos e responsáveis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Evitar que o ROPA vire um documento estático e desatualizado.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Passo a passo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1. </w:t>
      </w:r>
      <w:r>
        <w:rPr>
          <w:rFonts w:ascii="Liberation Sans" w:hAnsi="Liberation Sans"/>
          <w:color w:val="475569"/>
          <w:sz w:val="17"/>
        </w:rPr>
        <w:t>Definir responsável por coordenar o registro e donos de cada processo.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2. </w:t>
      </w:r>
      <w:r>
        <w:rPr>
          <w:rFonts w:ascii="Liberation Sans" w:hAnsi="Liberation Sans"/>
          <w:color w:val="475569"/>
          <w:sz w:val="17"/>
        </w:rPr>
        <w:t>Priorizar operações principais com dados pessoais e sensíveis.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3. </w:t>
      </w:r>
      <w:r>
        <w:rPr>
          <w:rFonts w:ascii="Liberation Sans" w:hAnsi="Liberation Sans"/>
          <w:color w:val="475569"/>
          <w:sz w:val="17"/>
        </w:rPr>
        <w:t>Coletar informações com gestores e validar com evidências do processo real.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4. </w:t>
      </w:r>
      <w:r>
        <w:rPr>
          <w:rFonts w:ascii="Liberation Sans" w:hAnsi="Liberation Sans"/>
          <w:color w:val="475569"/>
          <w:sz w:val="17"/>
        </w:rPr>
        <w:t>Atualizar o registro quando houver novo sistema, fornecedor, finalidade, dado, canal ou integração.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5. </w:t>
      </w:r>
      <w:r>
        <w:rPr>
          <w:rFonts w:ascii="Liberation Sans" w:hAnsi="Liberation Sans"/>
          <w:color w:val="475569"/>
          <w:sz w:val="17"/>
        </w:rPr>
        <w:t>Revisar periodicamente mesmo sem mudanças declaradas.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6. </w:t>
      </w:r>
      <w:r>
        <w:rPr>
          <w:rFonts w:ascii="Liberation Sans" w:hAnsi="Liberation Sans"/>
          <w:color w:val="475569"/>
          <w:sz w:val="17"/>
        </w:rPr>
        <w:t>Registrar data, responsável e principais alterações.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7. </w:t>
      </w:r>
      <w:r>
        <w:rPr>
          <w:rFonts w:ascii="Liberation Sans" w:hAnsi="Liberation Sans"/>
          <w:color w:val="475569"/>
          <w:sz w:val="17"/>
        </w:rPr>
        <w:t>Relacionar pendências de minimização, retenção, contrato ou segurança a plano de ação separado.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