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Liberation Sans" w:hAnsi="Liberation Sans"/>
          <w:b/>
          <w:color w:val="4F46E5"/>
          <w:sz w:val="14"/>
        </w:rPr>
        <w:t>INSTRUMENTO DE AUTOAVALIAÇÃO DE CONTROLES DE SEGURANÇA CIBERNÉTICA</w:t>
      </w:r>
    </w:p>
    <w:p>
      <w:pPr>
        <w:spacing w:after="0"/>
      </w:pPr>
      <w:r>
        <w:rPr>
          <w:rFonts w:ascii="Liberation Sans" w:hAnsi="Liberation Sans"/>
          <w:b/>
          <w:color w:val="0F172A"/>
          <w:sz w:val="33"/>
        </w:rPr>
        <w:t>AVALIAÇÃO DE RISCO DE ATIVO SEM SUPORTE</w:t>
      </w:r>
    </w:p>
    <w:p>
      <w:pPr>
        <w:spacing w:after="60"/>
      </w:pPr>
      <w:r>
        <w:rPr>
          <w:rFonts w:ascii="Liberation Sans" w:hAnsi="Liberation Sans"/>
          <w:color w:val="475569"/>
          <w:sz w:val="16"/>
        </w:rPr>
        <w:t>Worksheet editável — Questão 49 | D05 — Infraestrutura, redes, sistemas e dispositivos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BFDBFE"/>
          <w:left w:val="single" w:sz="5" w:color="BFDBFE"/>
          <w:bottom w:val="single" w:sz="5" w:color="BFDBFE"/>
          <w:right w:val="single" w:sz="5" w:color="BFDBFE"/>
          <w:insideH w:val="single" w:sz="5" w:color="BFDBFE"/>
          <w:insideV w:val="single" w:sz="5" w:color="BFDBFE"/>
        </w:tblBorders>
      </w:tblPr>
      <w:tblGrid>
        <w:gridCol w:w="15740"/>
      </w:tblGrid>
      <w:tr>
        <w:tc>
          <w:tcPr>
            <w:tcW w:type="dxa" w:w="15740"/>
            <w:shd w:fill="EFF6FF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6"/>
              </w:rPr>
              <w:t>Sistemas e equipamentos sem suporte do fabricante são identificados e possuem medidas de compensação ou plano de substituição?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A7F3D0"/>
          <w:left w:val="single" w:sz="5" w:color="A7F3D0"/>
          <w:bottom w:val="single" w:sz="5" w:color="A7F3D0"/>
          <w:right w:val="single" w:sz="5" w:color="A7F3D0"/>
          <w:insideH w:val="single" w:sz="5" w:color="A7F3D0"/>
          <w:insideV w:val="single" w:sz="5" w:color="A7F3D0"/>
        </w:tblBorders>
      </w:tblPr>
      <w:tblGrid>
        <w:gridCol w:w="15740"/>
      </w:tblGrid>
      <w:tr>
        <w:tc>
          <w:tcPr>
            <w:tcW w:type="dxa" w:w="15740"/>
            <w:shd w:fill="ECFD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Finalidade: </w:t>
            </w:r>
            <w:r>
              <w:rPr>
                <w:rFonts w:ascii="Liberation Sans" w:hAnsi="Liberation Sans"/>
                <w:color w:val="475569"/>
                <w:sz w:val="16"/>
              </w:rPr>
              <w:t>Registrar por que um legado ainda existe e quais fatores aumentam ou reduzem seu risco.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Análise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5247"/>
        <w:gridCol w:w="5247"/>
        <w:gridCol w:w="5247"/>
      </w:tblGrid>
      <w:tr>
        <w:tc>
          <w:tcPr>
            <w:tcW w:type="dxa" w:w="524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Fator</w:t>
            </w:r>
          </w:p>
        </w:tc>
        <w:tc>
          <w:tcPr>
            <w:tcW w:type="dxa" w:w="524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Situação observada</w:t>
            </w:r>
          </w:p>
        </w:tc>
        <w:tc>
          <w:tcPr>
            <w:tcW w:type="dxa" w:w="524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Impacto/observação</w:t>
            </w:r>
          </w:p>
        </w:tc>
      </w:tr>
      <w:tr>
        <w:tc>
          <w:tcPr>
            <w:tcW w:type="dxa" w:w="524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Conectividade e exposição</w:t>
            </w:r>
          </w:p>
        </w:tc>
        <w:tc>
          <w:tcPr>
            <w:tcW w:type="dxa" w:w="524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Internet / rede interna / segmento restrito / isolado</w:t>
            </w:r>
          </w:p>
        </w:tc>
        <w:tc>
          <w:tcPr>
            <w:tcW w:type="dxa" w:w="524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524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Dados/processos envolvidos</w:t>
            </w:r>
          </w:p>
        </w:tc>
        <w:tc>
          <w:tcPr>
            <w:tcW w:type="dxa" w:w="524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524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524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Criticidade para atendimento</w:t>
            </w:r>
          </w:p>
        </w:tc>
        <w:tc>
          <w:tcPr>
            <w:tcW w:type="dxa" w:w="524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524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524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Atualizações disponíveis?</w:t>
            </w:r>
          </w:p>
        </w:tc>
        <w:tc>
          <w:tcPr>
            <w:tcW w:type="dxa" w:w="524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524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524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Acesso administrativo/remoto</w:t>
            </w:r>
          </w:p>
        </w:tc>
        <w:tc>
          <w:tcPr>
            <w:tcW w:type="dxa" w:w="524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524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524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Monitoramento/logs possíveis?</w:t>
            </w:r>
          </w:p>
        </w:tc>
        <w:tc>
          <w:tcPr>
            <w:tcW w:type="dxa" w:w="524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524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524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Dependências e integrações</w:t>
            </w:r>
          </w:p>
        </w:tc>
        <w:tc>
          <w:tcPr>
            <w:tcW w:type="dxa" w:w="524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524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524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Risco residual aceito por quem?</w:t>
            </w:r>
          </w:p>
        </w:tc>
        <w:tc>
          <w:tcPr>
            <w:tcW w:type="dxa" w:w="524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524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FDE68A"/>
          <w:left w:val="single" w:sz="5" w:color="FDE68A"/>
          <w:bottom w:val="single" w:sz="5" w:color="FDE68A"/>
          <w:right w:val="single" w:sz="5" w:color="FDE68A"/>
          <w:insideH w:val="single" w:sz="5" w:color="FDE68A"/>
          <w:insideV w:val="single" w:sz="5" w:color="FDE68A"/>
        </w:tblBorders>
      </w:tblPr>
      <w:tblGrid>
        <w:gridCol w:w="15740"/>
      </w:tblGrid>
      <w:tr>
        <w:tc>
          <w:tcPr>
            <w:tcW w:type="dxa" w:w="15740"/>
            <w:shd w:fill="FFFBEB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Resultado esperado: </w:t>
            </w:r>
            <w:r>
              <w:rPr>
                <w:rFonts w:ascii="Liberation Sans" w:hAnsi="Liberation Sans"/>
                <w:color w:val="475569"/>
                <w:sz w:val="16"/>
              </w:rPr>
              <w:t>A avaliação deve levar a controles compensatórios e/ou a um plano de substituição, não apenas registrar que o ativo é antigo.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3"/>
        </w:rPr>
        <w:t>NIST Cybersecurity Framework 2.0</w:t>
      </w:r>
      <w:r>
        <w:t xml:space="preserve">  •  </w:t>
      </w:r>
      <w:r>
        <w:rPr>
          <w:rFonts w:ascii="Liberation Sans" w:hAnsi="Liberation Sans"/>
          <w:color w:val="475569"/>
          <w:sz w:val="13"/>
        </w:rPr>
        <w:t>NIST SP 800-40 Rev. 4 — Enterprise Patch Management Planning</w:t>
      </w:r>
    </w:p>
    <w:sectPr w:rsidR="00FC693F" w:rsidRPr="0006063C" w:rsidSect="00034616">
      <w:footerReference w:type="default" r:id="rId9"/>
      <w:pgSz w:w="16834" w:h="11909" w:orient="landscape"/>
      <w:pgMar w:top="432" w:right="547" w:bottom="432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2"/>
      </w:rPr>
      <w:t>Material próprio de apoio ao instrumento — adaptar, aprovar e revisar conforme o ambiente real.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