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Liberation Sans" w:hAnsi="Liberation Sans"/>
          <w:b/>
          <w:color w:val="4F46E5"/>
          <w:sz w:val="14"/>
        </w:rPr>
        <w:t>INSTRUMENTO DE AUTOAVALIAÇÃO DE CONTROLES DE SEGURANÇA CIBERNÉTICA</w:t>
      </w:r>
    </w:p>
    <w:p>
      <w:pPr>
        <w:spacing w:after="0"/>
      </w:pPr>
      <w:r>
        <w:rPr>
          <w:rFonts w:ascii="Liberation Sans" w:hAnsi="Liberation Sans"/>
          <w:b/>
          <w:color w:val="0F172A"/>
          <w:sz w:val="33"/>
        </w:rPr>
        <w:t>CHECKLIST DE BASELINE DE PROTEÇÃO DE ENDPOINT</w:t>
      </w:r>
    </w:p>
    <w:p>
      <w:pPr>
        <w:spacing w:after="60"/>
      </w:pPr>
      <w:r>
        <w:rPr>
          <w:rFonts w:ascii="Liberation Sans" w:hAnsi="Liberation Sans"/>
          <w:color w:val="475569"/>
          <w:sz w:val="16"/>
        </w:rPr>
        <w:t>Checklist editável — Questão 50 | D05 — Infraestrutura, redes, sistemas e dispositivos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FDBFE"/>
          <w:left w:val="single" w:sz="5" w:color="BFDBFE"/>
          <w:bottom w:val="single" w:sz="5" w:color="BFDBFE"/>
          <w:right w:val="single" w:sz="5" w:color="BFDBFE"/>
          <w:insideH w:val="single" w:sz="5" w:color="BFDBFE"/>
          <w:insideV w:val="single" w:sz="5" w:color="BFDBFE"/>
        </w:tblBorders>
      </w:tblPr>
      <w:tblGrid>
        <w:gridCol w:w="15740"/>
      </w:tblGrid>
      <w:tr>
        <w:tc>
          <w:tcPr>
            <w:tcW w:type="dxa" w:w="15740"/>
            <w:shd w:fill="EFF6FF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6"/>
              </w:rPr>
              <w:t>Estações e servidores possuem mecanismos atualizados de prevenção, detecção e/ou contenção de códigos maliciosos ou ameaças de endpoint, conforme aplicável?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7F3D0"/>
          <w:left w:val="single" w:sz="5" w:color="A7F3D0"/>
          <w:bottom w:val="single" w:sz="5" w:color="A7F3D0"/>
          <w:right w:val="single" w:sz="5" w:color="A7F3D0"/>
          <w:insideH w:val="single" w:sz="5" w:color="A7F3D0"/>
          <w:insideV w:val="single" w:sz="5" w:color="A7F3D0"/>
        </w:tblBorders>
      </w:tblPr>
      <w:tblGrid>
        <w:gridCol w:w="15740"/>
      </w:tblGrid>
      <w:tr>
        <w:tc>
          <w:tcPr>
            <w:tcW w:type="dxa" w:w="15740"/>
            <w:shd w:fill="ECFD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Finalidade: </w:t>
            </w:r>
            <w:r>
              <w:rPr>
                <w:rFonts w:ascii="Liberation Sans" w:hAnsi="Liberation Sans"/>
                <w:color w:val="475569"/>
                <w:sz w:val="16"/>
              </w:rPr>
              <w:t>Verificar se a ferramenta está instalada e também configurada/operante no nível esperado.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Pontos de verificação / preenchimento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Proteção em tempo real ativa quando aplicável.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Mecanismo/agente atualizado.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Proteções comportamentais/reputação ativadas quando suportadas.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Usuário comum não consegue desabilitar proteção sem autorização.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Exclusões estão documentadas e limitadas.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Alertas críticos têm destino/responsável.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Equipamentos offline/isolados possuem rotina alternativa de atualização quando necessária.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Cobertura de servidores e estações é conhecida.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Teste controlado/estado de saúde é verificado periodicamente.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740"/>
      </w:tblGrid>
      <w:tr>
        <w:tc>
          <w:tcPr>
            <w:tcW w:type="dxa" w:w="15740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Baseline: padrão mínimo de configuração usado como referência.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Endpoint: dispositivo final conectado à rede, como computador ou servidor.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3"/>
        </w:rPr>
        <w:t>NIST Cybersecurity Framework 2.0</w:t>
      </w:r>
      <w:r>
        <w:t xml:space="preserve">  •  </w:t>
      </w:r>
      <w:r>
        <w:rPr>
          <w:rFonts w:ascii="Liberation Sans" w:hAnsi="Liberation Sans"/>
          <w:color w:val="475569"/>
          <w:sz w:val="13"/>
        </w:rPr>
        <w:t>ANPD — Guia Orientativo sobre Segurança da Informação para Agentes de Tratamento de Pequeno Porte</w:t>
      </w:r>
    </w:p>
    <w:sectPr w:rsidR="00FC693F" w:rsidRPr="0006063C" w:rsidSect="00034616">
      <w:footerReference w:type="default" r:id="rId9"/>
      <w:pgSz w:w="16834" w:h="11909" w:orient="landscape"/>
      <w:pgMar w:top="432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2"/>
      </w:rPr>
      <w:t>Material próprio de apoio ao instrumento — adaptar, aprovar e revisar conforme o ambiente real.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