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Liberation Sans" w:hAnsi="Liberation Sans"/>
          <w:b/>
          <w:color w:val="4F46E5"/>
          <w:sz w:val="14"/>
        </w:rPr>
        <w:t>INSTRUMENTO DE AUTOAVALIAÇÃO DE CONTROLES DE SEGURANÇA CIBERNÉTICA</w:t>
      </w:r>
    </w:p>
    <w:p>
      <w:pPr>
        <w:spacing w:after="0"/>
      </w:pPr>
      <w:r>
        <w:rPr>
          <w:rFonts w:ascii="Liberation Sans" w:hAnsi="Liberation Sans"/>
          <w:b/>
          <w:color w:val="0F172A"/>
          <w:sz w:val="33"/>
        </w:rPr>
        <w:t>MAPA DE FLUXOS PERMITIDOS ENTRE SEGMENTOS</w:t>
      </w:r>
    </w:p>
    <w:p>
      <w:pPr>
        <w:spacing w:after="60"/>
      </w:pPr>
      <w:r>
        <w:rPr>
          <w:rFonts w:ascii="Liberation Sans" w:hAnsi="Liberation Sans"/>
          <w:color w:val="475569"/>
          <w:sz w:val="16"/>
        </w:rPr>
        <w:t>Register editável — Questão 52 | D05 — Infraestrutura, redes, sistemas e dispositivos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FDBFE"/>
          <w:left w:val="single" w:sz="5" w:color="BFDBFE"/>
          <w:bottom w:val="single" w:sz="5" w:color="BFDBFE"/>
          <w:right w:val="single" w:sz="5" w:color="BFDBFE"/>
          <w:insideH w:val="single" w:sz="5" w:color="BFDBFE"/>
          <w:insideV w:val="single" w:sz="5" w:color="BFDBFE"/>
        </w:tblBorders>
      </w:tblPr>
      <w:tblGrid>
        <w:gridCol w:w="15740"/>
      </w:tblGrid>
      <w:tr>
        <w:tc>
          <w:tcPr>
            <w:tcW w:type="dxa" w:w="15740"/>
            <w:shd w:fill="EFF6FF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6"/>
              </w:rPr>
              <w:t>A rede é segmentada conforme a finalidade, criticidade e nível de confiança dos ativos e usuários?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A7F3D0"/>
          <w:left w:val="single" w:sz="5" w:color="A7F3D0"/>
          <w:bottom w:val="single" w:sz="5" w:color="A7F3D0"/>
          <w:right w:val="single" w:sz="5" w:color="A7F3D0"/>
          <w:insideH w:val="single" w:sz="5" w:color="A7F3D0"/>
          <w:insideV w:val="single" w:sz="5" w:color="A7F3D0"/>
        </w:tblBorders>
      </w:tblPr>
      <w:tblGrid>
        <w:gridCol w:w="15740"/>
      </w:tblGrid>
      <w:tr>
        <w:tc>
          <w:tcPr>
            <w:tcW w:type="dxa" w:w="15740"/>
            <w:shd w:fill="ECFD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Finalidade: </w:t>
            </w:r>
            <w:r>
              <w:rPr>
                <w:rFonts w:ascii="Liberation Sans" w:hAnsi="Liberation Sans"/>
                <w:color w:val="475569"/>
                <w:sz w:val="16"/>
              </w:rPr>
              <w:t>Documentar os fluxos realmente necessários para atendimento, integração e administração.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Fluxos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967"/>
        <w:gridCol w:w="1967"/>
        <w:gridCol w:w="1967"/>
        <w:gridCol w:w="1967"/>
        <w:gridCol w:w="1967"/>
        <w:gridCol w:w="1967"/>
        <w:gridCol w:w="1967"/>
        <w:gridCol w:w="1967"/>
      </w:tblGrid>
      <w:tr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Origem/zona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Destino/zona/sistema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Porta/protocolo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Finalidade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Quem inicia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Necessário?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Regra/controle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Revisão</w:t>
            </w:r>
          </w:p>
        </w:tc>
      </w:tr>
      <w:tr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3"/>
        </w:rPr>
        <w:t>NIST Cybersecurity Framework 2.0</w:t>
      </w:r>
    </w:p>
    <w:sectPr w:rsidR="00FC693F" w:rsidRPr="0006063C" w:rsidSect="00034616">
      <w:footerReference w:type="default" r:id="rId9"/>
      <w:pgSz w:w="16834" w:h="11909" w:orient="landscape"/>
      <w:pgMar w:top="432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2"/>
      </w:rPr>
      <w:t>Material próprio de apoio ao instrumento — adaptar, aprovar e revisar conforme o ambiente real.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