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MATRIZ DE ZONAS E SEGMENTAÇÃO DE REDE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Template editável — Questão 52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A rede é segmentada conforme a finalidade, criticidade e nível de confiança dos ativos e usuários?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Definir zonas coerentes com finalidade, criticidade e confiança sem pressupor uma arquitetura complexa.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Zonas sugeridas para avaliar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AD: Active Directory; serviço central de usuários, computadores, grupos e autenticação em domínio.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23"/>
        <w:gridCol w:w="2623"/>
        <w:gridCol w:w="2623"/>
        <w:gridCol w:w="2623"/>
        <w:gridCol w:w="2623"/>
        <w:gridCol w:w="2623"/>
      </w:tblGrid>
      <w:tr>
        <w:tc>
          <w:tcPr>
            <w:tcW w:type="dxa" w:w="2623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Zona/segmento</w:t>
            </w:r>
          </w:p>
        </w:tc>
        <w:tc>
          <w:tcPr>
            <w:tcW w:type="dxa" w:w="2623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Exemplos</w:t>
            </w:r>
          </w:p>
        </w:tc>
        <w:tc>
          <w:tcPr>
            <w:tcW w:type="dxa" w:w="2623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Nível de confiança/criticidade</w:t>
            </w:r>
          </w:p>
        </w:tc>
        <w:tc>
          <w:tcPr>
            <w:tcW w:type="dxa" w:w="2623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Pode iniciar conexão para</w:t>
            </w:r>
          </w:p>
        </w:tc>
        <w:tc>
          <w:tcPr>
            <w:tcW w:type="dxa" w:w="2623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Controles entre zonas</w:t>
            </w:r>
          </w:p>
        </w:tc>
        <w:tc>
          <w:tcPr>
            <w:tcW w:type="dxa" w:w="2623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Responsável</w:t>
            </w:r>
          </w:p>
        </w:tc>
      </w:tr>
      <w:tr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Usuários administrativos</w:t>
            </w:r>
          </w:p>
        </w:tc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Recepção, faturamento, administrativo</w:t>
            </w:r>
          </w:p>
        </w:tc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262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Servidores</w:t>
            </w:r>
          </w:p>
        </w:tc>
        <w:tc>
          <w:tcPr>
            <w:tcW w:type="dxa" w:w="262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AD, arquivos, aplicações</w:t>
            </w:r>
          </w:p>
        </w:tc>
        <w:tc>
          <w:tcPr>
            <w:tcW w:type="dxa" w:w="262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RIS/PACS</w:t>
            </w:r>
          </w:p>
        </w:tc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Serviços de imagem e workflow</w:t>
            </w:r>
          </w:p>
        </w:tc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262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Equipamentos de imagem/legados</w:t>
            </w:r>
          </w:p>
        </w:tc>
        <w:tc>
          <w:tcPr>
            <w:tcW w:type="dxa" w:w="262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Modalidades e equipamentos com restrições</w:t>
            </w:r>
          </w:p>
        </w:tc>
        <w:tc>
          <w:tcPr>
            <w:tcW w:type="dxa" w:w="262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Visitantes/Wi-Fi convidado</w:t>
            </w:r>
          </w:p>
        </w:tc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Dispositivos pessoais</w:t>
            </w:r>
          </w:p>
        </w:tc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Internet apenas/definir</w:t>
            </w:r>
          </w:p>
        </w:tc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262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Administração de TI</w:t>
            </w:r>
          </w:p>
        </w:tc>
        <w:tc>
          <w:tcPr>
            <w:tcW w:type="dxa" w:w="262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Estações/jump host de gestão</w:t>
            </w:r>
          </w:p>
        </w:tc>
        <w:tc>
          <w:tcPr>
            <w:tcW w:type="dxa" w:w="262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FDE68A"/>
          <w:left w:val="single" w:sz="5" w:color="FDE68A"/>
          <w:bottom w:val="single" w:sz="5" w:color="FDE68A"/>
          <w:right w:val="single" w:sz="5" w:color="FDE68A"/>
          <w:insideH w:val="single" w:sz="5" w:color="FDE68A"/>
          <w:insideV w:val="single" w:sz="5" w:color="FDE68A"/>
        </w:tblBorders>
      </w:tblPr>
      <w:tblGrid>
        <w:gridCol w:w="15740"/>
      </w:tblGrid>
      <w:tr>
        <w:tc>
          <w:tcPr>
            <w:tcW w:type="dxa" w:w="15740"/>
            <w:shd w:fill="FFFBEB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Proporcionalidade: </w:t>
            </w:r>
            <w:r>
              <w:rPr>
                <w:rFonts w:ascii="Liberation Sans" w:hAnsi="Liberation Sans"/>
                <w:color w:val="475569"/>
                <w:sz w:val="16"/>
              </w:rPr>
              <w:t>Uma clínica pequena pode ter menos zonas; o importante é evitar mistura desnecessária de ativos com confiança e finalidade muito diferentes.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ANPD — Guia Orientativo sobre Segurança da Informação para Agentes de Tratamento de Pequeno Porte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