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17365D"/>
          <w:sz w:val="16"/>
        </w:rPr>
        <w:t>INSTRUMENTO DE AUTOAVALIAÇÃO DE CONTROLES DE SEGURANÇA CIBERNÉTICA</w:t>
      </w:r>
    </w:p>
    <w:p>
      <w:pPr>
        <w:jc w:val="center"/>
      </w:pPr>
      <w:r>
        <w:rPr>
          <w:rFonts w:ascii="Arial" w:hAnsi="Arial"/>
          <w:b/>
          <w:i w:val="0"/>
          <w:color w:val="17365D"/>
          <w:sz w:val="30"/>
        </w:rPr>
        <w:t>REGISTRO DE VALIDAÇÃO DE EVENTO DE ACESSO REMOTO</w:t>
      </w:r>
    </w:p>
    <w:p>
      <w:pPr>
        <w:jc w:val="center"/>
      </w:pPr>
      <w:r>
        <w:rPr>
          <w:rFonts w:ascii="Arial" w:hAnsi="Arial"/>
          <w:b w:val="0"/>
          <w:i w:val="0"/>
          <w:color w:val="1F2937"/>
          <w:sz w:val="16"/>
        </w:rPr>
        <w:t>Registro de teste — Questão 60 | D06 — Detecção e monitoramento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Questão: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Firewall, VPN, serviços de acesso remoto e equipamentos de rede mantêm registros compatíveis com os riscos do ambiente?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3F6F9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Finalidade: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Comprovar que uma sessão remota autorizada deixa rastros suficientes para posterior investigação.</w:t>
            </w:r>
          </w:p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Como usar: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Realize apenas testes autorizados em conta/ambiente de teste ou janela controlada.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VPN: rede privada virtual; canal protegido para acesso remoto ou comunicação entre redes.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rPr>
          <w:tblHeader w:val="true"/>
        </w:trPr>
        <w:tc>
          <w:tcPr>
            <w:tcW w:type="dxa" w:w="108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Data</w:t>
            </w:r>
          </w:p>
        </w:tc>
        <w:tc>
          <w:tcPr>
            <w:tcW w:type="dxa" w:w="1728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Ferramenta/VPN</w:t>
            </w:r>
          </w:p>
        </w:tc>
        <w:tc>
          <w:tcPr>
            <w:tcW w:type="dxa" w:w="144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Usuário</w:t>
            </w:r>
          </w:p>
        </w:tc>
        <w:tc>
          <w:tcPr>
            <w:tcW w:type="dxa" w:w="144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Origem</w:t>
            </w:r>
          </w:p>
        </w:tc>
        <w:tc>
          <w:tcPr>
            <w:tcW w:type="dxa" w:w="1584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Início/fim</w:t>
            </w:r>
          </w:p>
        </w:tc>
        <w:tc>
          <w:tcPr>
            <w:tcW w:type="dxa" w:w="144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Evento encontrado?</w:t>
            </w:r>
          </w:p>
        </w:tc>
        <w:tc>
          <w:tcPr>
            <w:tcW w:type="dxa" w:w="2088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Evidência</w:t>
            </w:r>
          </w:p>
        </w:tc>
        <w:tc>
          <w:tcPr>
            <w:tcW w:type="dxa" w:w="1584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Ação</w:t>
            </w:r>
          </w:p>
        </w:tc>
      </w:tr>
      <w:tr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Referências de apoio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NIST CSF 2.0: </w:t>
      </w:r>
      <w:r>
        <w:rPr>
          <w:rFonts w:ascii="Arial" w:hAnsi="Arial"/>
          <w:b w:val="0"/>
          <w:i w:val="0"/>
          <w:color w:val="1F2937"/>
          <w:sz w:val="16"/>
        </w:rPr>
        <w:t>PR.PS-04, DE.CM-01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Observação: </w:t>
      </w:r>
      <w:r>
        <w:rPr>
          <w:rFonts w:ascii="Arial" w:hAnsi="Arial"/>
          <w:b w:val="0"/>
          <w:i w:val="0"/>
          <w:color w:val="1F2937"/>
          <w:sz w:val="16"/>
        </w:rPr>
        <w:t>material de apoio próprio, adaptável à realidade da clínica. Não representa certificação nem modelo oficial/homologado.</w:t>
      </w:r>
    </w:p>
    <w:sectPr w:rsidR="00FC693F" w:rsidRPr="0006063C" w:rsidSect="00034616">
      <w:footerReference w:type="default" r:id="rId9"/>
      <w:pgSz w:w="16834" w:h="11909" w:orient="landscape"/>
      <w:pgMar w:top="648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B7280"/>
        <w:sz w:val="14"/>
      </w:rPr>
      <w:t>Material de apoio do instrumento — adaptar ao ambiente, contratos, sistemas e responsabilidades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