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FREQUÊNCIA, FONTES E RESPONSÁVEIS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de governança operacional — Questão 63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registros e alertas de segurança são revisados com frequência compatível com a criticidade dos serviços?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Relacionar criticidade com frequência de revisão e responsável de forma clara.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como complemento do plano de revisão e ajuste quando houver mudança de serviço ou risco.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Criticidade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Frequência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 primário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Substituto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Canal/ticket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Última revisão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DE.AE-02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