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7365D"/>
          <w:sz w:val="16"/>
        </w:rPr>
        <w:t>INSTRUMENTO DE AUTOAVALIAÇÃO DE CONTROLES DE SEGURANÇA CIBERNÉTICA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30"/>
        </w:rPr>
        <w:t>PROCEDIMENTO DE GESTÃO DE REGRAS DE ALERTA</w:t>
      </w:r>
    </w:p>
    <w:p>
      <w:pPr>
        <w:jc w:val="center"/>
      </w:pPr>
      <w:r>
        <w:rPr>
          <w:rFonts w:ascii="Arial" w:hAnsi="Arial"/>
          <w:b w:val="0"/>
          <w:i w:val="0"/>
          <w:color w:val="1F2937"/>
          <w:sz w:val="16"/>
        </w:rPr>
        <w:t>Procedimento editável — Questão 64 | D06 — Detecção e monitoramento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Questão: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Existem alertas automáticos, quando suportados pelos sistemas, para eventos relevantes como tentativas de acesso, malware, indisponibilidade e falhas de backup?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3F6F9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Finalidade: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Manter regras de alerta úteis, testadas e com destinatários atualizados.</w:t>
            </w:r>
          </w:p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Como usar: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Adapte à ferramenta disponível: RMM, EDR, firewall, backup, monitoramento ou alertas nativos.</w:t>
            </w:r>
          </w:p>
        </w:tc>
      </w:tr>
    </w:tbl>
    <w:p/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Fluxo recomendado</w:t>
      </w:r>
    </w:p>
    <w:p>
      <w:pPr>
        <w:spacing w:after="20"/>
        <w:ind w:left="259" w:hanging="173"/>
      </w:pPr>
      <w:r>
        <w:rPr>
          <w:rFonts w:ascii="Arial" w:hAnsi="Arial"/>
          <w:b/>
          <w:i w:val="0"/>
          <w:color w:val="17365D"/>
          <w:sz w:val="18"/>
        </w:rPr>
        <w:t xml:space="preserve">• </w:t>
      </w:r>
      <w:r>
        <w:rPr>
          <w:rFonts w:ascii="Arial" w:hAnsi="Arial"/>
          <w:b w:val="0"/>
          <w:i w:val="0"/>
          <w:color w:val="1F2937"/>
          <w:sz w:val="18"/>
        </w:rPr>
        <w:t>Cadastrar evento/condição, severidade e responsável.</w:t>
      </w:r>
    </w:p>
    <w:p>
      <w:pPr>
        <w:spacing w:after="20"/>
        <w:ind w:left="259" w:hanging="173"/>
      </w:pPr>
      <w:r>
        <w:rPr>
          <w:rFonts w:ascii="Arial" w:hAnsi="Arial"/>
          <w:b/>
          <w:i w:val="0"/>
          <w:color w:val="17365D"/>
          <w:sz w:val="18"/>
        </w:rPr>
        <w:t xml:space="preserve">• </w:t>
      </w:r>
      <w:r>
        <w:rPr>
          <w:rFonts w:ascii="Arial" w:hAnsi="Arial"/>
          <w:b w:val="0"/>
          <w:i w:val="0"/>
          <w:color w:val="1F2937"/>
          <w:sz w:val="18"/>
        </w:rPr>
        <w:t>Configurar canal e escalonamento.</w:t>
      </w:r>
    </w:p>
    <w:p>
      <w:pPr>
        <w:spacing w:after="20"/>
        <w:ind w:left="259" w:hanging="173"/>
      </w:pPr>
      <w:r>
        <w:rPr>
          <w:rFonts w:ascii="Arial" w:hAnsi="Arial"/>
          <w:b/>
          <w:i w:val="0"/>
          <w:color w:val="17365D"/>
          <w:sz w:val="18"/>
        </w:rPr>
        <w:t xml:space="preserve">• </w:t>
      </w:r>
      <w:r>
        <w:rPr>
          <w:rFonts w:ascii="Arial" w:hAnsi="Arial"/>
          <w:b w:val="0"/>
          <w:i w:val="0"/>
          <w:color w:val="1F2937"/>
          <w:sz w:val="18"/>
        </w:rPr>
        <w:t>Testar a regra antes de considerá-la ativa.</w:t>
      </w:r>
    </w:p>
    <w:p>
      <w:pPr>
        <w:spacing w:after="20"/>
        <w:ind w:left="259" w:hanging="173"/>
      </w:pPr>
      <w:r>
        <w:rPr>
          <w:rFonts w:ascii="Arial" w:hAnsi="Arial"/>
          <w:b/>
          <w:i w:val="0"/>
          <w:color w:val="17365D"/>
          <w:sz w:val="18"/>
        </w:rPr>
        <w:t xml:space="preserve">• </w:t>
      </w:r>
      <w:r>
        <w:rPr>
          <w:rFonts w:ascii="Arial" w:hAnsi="Arial"/>
          <w:b w:val="0"/>
          <w:i w:val="0"/>
          <w:color w:val="1F2937"/>
          <w:sz w:val="18"/>
        </w:rPr>
        <w:t>Registrar exceções ou limitações da ferramenta.</w:t>
      </w:r>
    </w:p>
    <w:p>
      <w:pPr>
        <w:spacing w:after="20"/>
        <w:ind w:left="259" w:hanging="173"/>
      </w:pPr>
      <w:r>
        <w:rPr>
          <w:rFonts w:ascii="Arial" w:hAnsi="Arial"/>
          <w:b/>
          <w:i w:val="0"/>
          <w:color w:val="17365D"/>
          <w:sz w:val="18"/>
        </w:rPr>
        <w:t xml:space="preserve">• </w:t>
      </w:r>
      <w:r>
        <w:rPr>
          <w:rFonts w:ascii="Arial" w:hAnsi="Arial"/>
          <w:b w:val="0"/>
          <w:i w:val="0"/>
          <w:color w:val="1F2937"/>
          <w:sz w:val="18"/>
        </w:rPr>
        <w:t>Revisar alertas que geram muito ruído ou nunca são tratados.</w:t>
      </w:r>
    </w:p>
    <w:p>
      <w:pPr>
        <w:spacing w:after="20"/>
        <w:ind w:left="259" w:hanging="173"/>
      </w:pPr>
      <w:r>
        <w:rPr>
          <w:rFonts w:ascii="Arial" w:hAnsi="Arial"/>
          <w:b/>
          <w:i w:val="0"/>
          <w:color w:val="17365D"/>
          <w:sz w:val="18"/>
        </w:rPr>
        <w:t xml:space="preserve">• </w:t>
      </w:r>
      <w:r>
        <w:rPr>
          <w:rFonts w:ascii="Arial" w:hAnsi="Arial"/>
          <w:b w:val="0"/>
          <w:i w:val="0"/>
          <w:color w:val="1F2937"/>
          <w:sz w:val="18"/>
        </w:rPr>
        <w:t>Revalidar após mudança de equipe, ferramenta ou serviço crítico.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EDR: solução de detecção e resposta a ameaças em computadores/servidores.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RMM: ferramenta de monitoramento e gerenciamento remoto de computadores/servidores.</w:t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Referências de apoio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NIST CSF 2.0: </w:t>
      </w:r>
      <w:r>
        <w:rPr>
          <w:rFonts w:ascii="Arial" w:hAnsi="Arial"/>
          <w:b w:val="0"/>
          <w:i w:val="0"/>
          <w:color w:val="1F2937"/>
          <w:sz w:val="16"/>
        </w:rPr>
        <w:t>DE.CM-09, DE.AE-06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Observação: </w:t>
      </w:r>
      <w:r>
        <w:rPr>
          <w:rFonts w:ascii="Arial" w:hAnsi="Arial"/>
          <w:b w:val="0"/>
          <w:i w:val="0"/>
          <w:color w:val="1F2937"/>
          <w:sz w:val="16"/>
        </w:rPr>
        <w:t>material de apoio próprio, adaptável à realidade da clínica. Não representa certificação nem modelo oficial/homologado.</w:t>
      </w:r>
    </w:p>
    <w:sectPr w:rsidR="00FC693F" w:rsidRPr="0006063C" w:rsidSect="00034616">
      <w:footerReference w:type="default" r:id="rId9"/>
      <w:pgSz w:w="11909" w:h="16834"/>
      <w:pgMar w:top="720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280"/>
        <w:sz w:val="14"/>
      </w:rPr>
      <w:t>Material de apoio do instrumento — adaptar ao ambiente, contratos, sistemas e responsabilidades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