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MATRIZ DE PAPÉIS, RESPONSÁVEIS E SUBSTITUTOS EM INCIDENTES</w:t>
      </w:r>
    </w:p>
    <w:p>
      <w:pPr>
        <w:jc w:val="center"/>
      </w:pPr>
      <w:r>
        <w:rPr>
          <w:color w:val="475569"/>
          <w:sz w:val="18"/>
        </w:rPr>
        <w:t>Matriz RACI simplificada — Questão 69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Estão definidos os responsáveis, substitutos e contatos internos e externos a serem acionados durante um incidente?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RACI: R executa; A aprova/responde pelo resultado; C é consultado; I é informado; combinações acumulam papéis; “–” = sem participação.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368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Atividade</w:t>
            </w:r>
          </w:p>
        </w:tc>
        <w:tc>
          <w:tcPr>
            <w:tcW w:type="dxa" w:w="255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 principal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Substituto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Aprovador/decisor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Consultados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Informados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Triagem e classificação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Contenção técnica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Preservação de evidências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Decisão sobre parada/contingência assistencial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Acionamento de fornecedor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Avaliação de dados pessoais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Comunicação ANPD/titulares quando aplicável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Recuperação/retorno do serviço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Revisão pós-incidente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