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MATRIZ DE CLASSIFICAÇÃO E PRIORIDADE DE INCIDENTES</w:t>
      </w:r>
    </w:p>
    <w:p>
      <w:pPr>
        <w:jc w:val="center"/>
      </w:pPr>
      <w:r>
        <w:rPr>
          <w:color w:val="475569"/>
          <w:sz w:val="18"/>
        </w:rPr>
        <w:t>Matriz operacional — Questão 71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Os eventos suspeitos são analisados e validados e, quando caracterizados como incidentes, são categorizados e priorizados conforme gravidade, impacto, urgência e possível envolvimento de dados pessoais?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before="100" w:after="60"/>
      </w:pPr>
      <w:r>
        <w:rPr>
          <w:b/>
          <w:color w:val="1E40AF"/>
          <w:sz w:val="20"/>
        </w:rPr>
        <w:t>Sugestão de níveis proporcionais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Severidade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Impacto/escopo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Urgência</w:t>
            </w:r>
          </w:p>
        </w:tc>
        <w:tc>
          <w:tcPr>
            <w:tcW w:type="dxa" w:w="425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Exemplos possíveis</w:t>
            </w:r>
          </w:p>
        </w:tc>
        <w:tc>
          <w:tcPr>
            <w:tcW w:type="dxa" w:w="51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Resposta inicial esperada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S1 — Crítica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Interrupção assistencial ampla; comprometimento relevante; propagação ativa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Imediata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Ransomware amplo; conta privilegiada com abuso; indisponibilidade crítica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Acionar coordenação/direção; conter; preservar evidências; avaliar continuidade e dados pessoais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S2 — Alta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Impacto significativo, porém limitado ou controlável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Comprometimento de sistema crítico; vazamento potencial; fornecedor crítico afetado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Triagem rápida, contenção e escalonamento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S3 — Média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Impacto localizado, sem interrupção relevante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Normal priorizada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Malware isolado; tentativa de acesso com evidências limitadas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Registrar, investigar e corrigir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S4 — Baixa/Evento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Baixo impacto ou ainda não confirmado como incidente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Rotina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Alerta falso positivo; suspeita sem confirmação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Validar e documentar decisão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Fatores que podem elevar prioridade</w:t>
      </w:r>
    </w:p>
    <w:p>
      <w:pPr>
        <w:spacing w:after="30"/>
        <w:ind w:left="85"/>
      </w:pPr>
      <w:r>
        <w:rPr>
          <w:sz w:val="17"/>
        </w:rPr>
        <w:t>• Dados pessoais sensíveis, grande número de titulares ou grupos vulneráveis.</w:t>
      </w:r>
    </w:p>
    <w:p>
      <w:pPr>
        <w:spacing w:after="30"/>
        <w:ind w:left="85"/>
      </w:pPr>
      <w:r>
        <w:rPr>
          <w:sz w:val="17"/>
        </w:rPr>
        <w:t>• Indisponibilidade de serviço essencial ao atendimento.</w:t>
      </w:r>
    </w:p>
    <w:p>
      <w:pPr>
        <w:spacing w:after="30"/>
        <w:ind w:left="85"/>
      </w:pPr>
      <w:r>
        <w:rPr>
          <w:sz w:val="17"/>
        </w:rPr>
        <w:t>• Privilégio administrativo ou movimentação lateral.</w:t>
      </w:r>
    </w:p>
    <w:p>
      <w:pPr>
        <w:spacing w:after="30"/>
        <w:ind w:left="85"/>
      </w:pPr>
      <w:r>
        <w:rPr>
          <w:sz w:val="17"/>
        </w:rPr>
        <w:t>• Persistência, propagação, exfiltração ou perda de integridade.</w:t>
      </w:r>
    </w:p>
    <w:p>
      <w:pPr>
        <w:spacing w:after="30"/>
        <w:ind w:left="85"/>
      </w:pPr>
      <w:r>
        <w:rPr>
          <w:sz w:val="17"/>
        </w:rPr>
        <w:t>• Dependência de fornecedor ou impossibilidade de contenção local.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after="20"/>
      </w:pPr>
      <w:r>
        <w:rPr>
          <w:color w:val="475569"/>
          <w:sz w:val="15"/>
        </w:rPr>
        <w:t>LGPD art. 48</w:t>
      </w:r>
    </w:p>
    <w:p>
      <w:pPr>
        <w:spacing w:after="20"/>
      </w:pPr>
      <w:r>
        <w:rPr>
          <w:color w:val="475569"/>
          <w:sz w:val="15"/>
        </w:rPr>
        <w:t>Resolução CD/ANPD nº 15/2024</w:t>
      </w:r>
    </w:p>
    <w:p>
      <w:pPr>
        <w:spacing w:after="20"/>
      </w:pPr>
      <w:r>
        <w:rPr>
          <w:color w:val="475569"/>
          <w:sz w:val="15"/>
        </w:rPr>
        <w:t>orientações vigentes da ANPD sobre Comunicação de Incidente de Segurança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