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CHECKLIST DE COMUNICAÇÃO INTERNA POR PÚBLICO</w:t>
      </w:r>
    </w:p>
    <w:p>
      <w:pPr>
        <w:jc w:val="center"/>
      </w:pPr>
      <w:r>
        <w:rPr>
          <w:color w:val="475569"/>
          <w:sz w:val="18"/>
        </w:rPr>
        <w:t>Checklist operacional — Questão 74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plano de comunicação interna com direção, áreas assistenciais, TI, jurídico, encarregado quando aplicável e demais envolvidos?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rPr>
          <w:tblHeader w:val="true"/>
        </w:trPr>
        <w:tc>
          <w:tcPr>
            <w:tcW w:type="dxa" w:w="255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Público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Quando acionar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Informação mínima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Canal definido?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Substituto definido?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Direção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TI/Segurança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Setor assistencial/operacional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Privacidade/Encarregado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Jurídico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Comunicação/RH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Recepção/atendimento, quando necessário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Verificações</w:t>
      </w:r>
    </w:p>
    <w:p>
      <w:pPr>
        <w:spacing w:after="30"/>
        <w:ind w:left="85"/>
      </w:pPr>
      <w:r>
        <w:rPr>
          <w:sz w:val="17"/>
        </w:rPr>
        <w:t>☐ Mensagens têm dono e horário de atualização.</w:t>
      </w:r>
    </w:p>
    <w:p>
      <w:pPr>
        <w:spacing w:after="30"/>
        <w:ind w:left="85"/>
      </w:pPr>
      <w:r>
        <w:rPr>
          <w:sz w:val="17"/>
        </w:rPr>
        <w:t>☐ Não há duas fontes internas contraditórias.</w:t>
      </w:r>
    </w:p>
    <w:p>
      <w:pPr>
        <w:spacing w:after="30"/>
        <w:ind w:left="85"/>
      </w:pPr>
      <w:r>
        <w:rPr>
          <w:sz w:val="17"/>
        </w:rPr>
        <w:t>☐ Informações sensíveis são compartilhadas por canal adequado.</w:t>
      </w:r>
    </w:p>
    <w:p>
      <w:pPr>
        <w:spacing w:after="30"/>
        <w:ind w:left="85"/>
      </w:pPr>
      <w:r>
        <w:rPr>
          <w:sz w:val="17"/>
        </w:rPr>
        <w:t>☐ Áreas afetadas sabem qual contingência usar.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